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79FA" w14:textId="77777777" w:rsidR="00662185" w:rsidRPr="00623C29" w:rsidRDefault="00662185" w:rsidP="00662185">
      <w:pPr>
        <w:pStyle w:val="Heading1"/>
        <w:spacing w:before="130"/>
        <w:ind w:right="1985"/>
        <w:rPr>
          <w:rFonts w:ascii="Arial" w:hAnsi="Arial" w:cs="Arial"/>
          <w:b/>
          <w:bCs/>
          <w:color w:val="auto"/>
          <w:sz w:val="32"/>
          <w:szCs w:val="32"/>
        </w:rPr>
      </w:pPr>
      <w:r w:rsidRPr="00623C29">
        <w:rPr>
          <w:rFonts w:ascii="Arial" w:hAnsi="Arial" w:cs="Arial"/>
          <w:b/>
          <w:bCs/>
          <w:noProof/>
          <w:color w:val="auto"/>
          <w:sz w:val="32"/>
          <w:szCs w:val="32"/>
          <w:lang w:bidi="ar-SA"/>
        </w:rPr>
        <w:drawing>
          <wp:anchor distT="0" distB="0" distL="0" distR="0" simplePos="0" relativeHeight="251658240" behindDoc="0" locked="0" layoutInCell="1" allowOverlap="1" wp14:anchorId="09735B42" wp14:editId="2980A7CD">
            <wp:simplePos x="0" y="0"/>
            <wp:positionH relativeFrom="page">
              <wp:posOffset>6218464</wp:posOffset>
            </wp:positionH>
            <wp:positionV relativeFrom="paragraph">
              <wp:posOffset>-5733</wp:posOffset>
            </wp:positionV>
            <wp:extent cx="751440" cy="864088"/>
            <wp:effectExtent l="0" t="0" r="0" b="0"/>
            <wp:wrapNone/>
            <wp:docPr id="1" name="Picture 1" descr="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1440" cy="864088"/>
                    </a:xfrm>
                    <a:prstGeom prst="rect">
                      <a:avLst/>
                    </a:prstGeom>
                  </pic:spPr>
                </pic:pic>
              </a:graphicData>
            </a:graphic>
          </wp:anchor>
        </w:drawing>
      </w:r>
      <w:r w:rsidRPr="00623C29">
        <w:rPr>
          <w:rFonts w:ascii="Arial" w:hAnsi="Arial" w:cs="Arial"/>
          <w:b/>
          <w:bCs/>
          <w:color w:val="auto"/>
          <w:sz w:val="32"/>
          <w:szCs w:val="32"/>
        </w:rPr>
        <w:t>BOARD OF MANAGEMENT</w:t>
      </w:r>
    </w:p>
    <w:p w14:paraId="0316231F" w14:textId="77777777" w:rsidR="00662185" w:rsidRDefault="00662185" w:rsidP="00662185">
      <w:pPr>
        <w:pStyle w:val="BodyText"/>
        <w:spacing w:before="1"/>
        <w:ind w:right="1985"/>
        <w:rPr>
          <w:b/>
          <w:sz w:val="32"/>
        </w:rPr>
      </w:pPr>
    </w:p>
    <w:p w14:paraId="034E11B1" w14:textId="77777777" w:rsidR="00662185" w:rsidRDefault="00662185" w:rsidP="00662185">
      <w:pPr>
        <w:ind w:right="1985"/>
        <w:rPr>
          <w:b/>
          <w:sz w:val="32"/>
        </w:rPr>
      </w:pPr>
      <w:r>
        <w:rPr>
          <w:b/>
          <w:sz w:val="32"/>
        </w:rPr>
        <w:t>Finance &amp; Infrastructure Committee</w:t>
      </w:r>
    </w:p>
    <w:p w14:paraId="650953F8" w14:textId="77777777" w:rsidR="00662185" w:rsidRDefault="00662185" w:rsidP="00662185">
      <w:pPr>
        <w:spacing w:before="2"/>
        <w:ind w:right="1985"/>
        <w:rPr>
          <w:b/>
          <w:sz w:val="32"/>
        </w:rPr>
      </w:pPr>
    </w:p>
    <w:p w14:paraId="31E7496D" w14:textId="77777777" w:rsidR="00662185" w:rsidRPr="00BA2578" w:rsidRDefault="00662185" w:rsidP="00662185">
      <w:pPr>
        <w:pStyle w:val="BodyText"/>
        <w:ind w:right="1985"/>
      </w:pPr>
      <w:r w:rsidRPr="00BA2578">
        <w:rPr>
          <w:noProof/>
        </w:rPr>
        <mc:AlternateContent>
          <mc:Choice Requires="wps">
            <w:drawing>
              <wp:anchor distT="0" distB="0" distL="114300" distR="114300" simplePos="0" relativeHeight="251658241" behindDoc="1" locked="0" layoutInCell="1" allowOverlap="1" wp14:anchorId="47B23F7C" wp14:editId="1C3A53FD">
                <wp:simplePos x="0" y="0"/>
                <wp:positionH relativeFrom="page">
                  <wp:posOffset>622300</wp:posOffset>
                </wp:positionH>
                <wp:positionV relativeFrom="paragraph">
                  <wp:posOffset>618490</wp:posOffset>
                </wp:positionV>
                <wp:extent cx="64242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2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441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pt,48.7pt" to="554.8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" strokeweight="1.5pt">
                <w10:wrap anchorx="page"/>
              </v:line>
            </w:pict>
          </mc:Fallback>
        </mc:AlternateContent>
      </w:r>
      <w:r w:rsidRPr="00BA2578">
        <w:t xml:space="preserve">Tuesday </w:t>
      </w:r>
      <w:r>
        <w:t>9 September 2025</w:t>
      </w:r>
      <w:r w:rsidRPr="00BA2578">
        <w:t xml:space="preserve"> at 5.00pm </w:t>
      </w:r>
      <w:r w:rsidRPr="00BA2578">
        <w:rPr>
          <w:b/>
          <w:bCs/>
          <w:u w:val="single"/>
        </w:rPr>
        <w:t xml:space="preserve">Room </w:t>
      </w:r>
      <w:r>
        <w:rPr>
          <w:b/>
          <w:bCs/>
          <w:u w:val="single"/>
        </w:rPr>
        <w:t>K-TO-624</w:t>
      </w:r>
      <w:r w:rsidRPr="00BA2578">
        <w:rPr>
          <w:b/>
          <w:bCs/>
          <w:u w:val="single"/>
        </w:rPr>
        <w:t xml:space="preserve">, Kingsway Campus </w:t>
      </w:r>
      <w:r w:rsidRPr="00BA2578">
        <w:t>(MS Teams option available)</w:t>
      </w:r>
    </w:p>
    <w:p w14:paraId="10F8A1DC" w14:textId="77777777" w:rsidR="00662185" w:rsidRDefault="00662185" w:rsidP="00662185">
      <w:pPr>
        <w:pStyle w:val="BodyText"/>
        <w:spacing w:before="2"/>
        <w:rPr>
          <w:b/>
          <w:sz w:val="32"/>
        </w:rPr>
      </w:pPr>
    </w:p>
    <w:p w14:paraId="7CE08D6E" w14:textId="56A0066D" w:rsidR="00662185" w:rsidRDefault="00662185" w:rsidP="00662185">
      <w:pPr>
        <w:pStyle w:val="BodyText"/>
        <w:rPr>
          <w:sz w:val="22"/>
          <w:szCs w:val="22"/>
        </w:rPr>
      </w:pPr>
      <w:r w:rsidRPr="00B767B7">
        <w:rPr>
          <w:sz w:val="22"/>
          <w:szCs w:val="22"/>
        </w:rPr>
        <w:t xml:space="preserve">Minute of the Finance &amp; </w:t>
      </w:r>
      <w:r>
        <w:rPr>
          <w:sz w:val="22"/>
          <w:szCs w:val="22"/>
        </w:rPr>
        <w:t>Infrastructure</w:t>
      </w:r>
      <w:r w:rsidRPr="00B767B7">
        <w:rPr>
          <w:sz w:val="22"/>
          <w:szCs w:val="22"/>
        </w:rPr>
        <w:t xml:space="preserve"> Committee meeting held on Tuesday </w:t>
      </w:r>
      <w:r>
        <w:rPr>
          <w:sz w:val="22"/>
          <w:szCs w:val="22"/>
        </w:rPr>
        <w:t>9 September</w:t>
      </w:r>
      <w:r w:rsidRPr="00B767B7">
        <w:rPr>
          <w:sz w:val="22"/>
          <w:szCs w:val="22"/>
        </w:rPr>
        <w:t xml:space="preserve"> 2025 at </w:t>
      </w:r>
      <w:r w:rsidR="00CA4EAA">
        <w:rPr>
          <w:sz w:val="22"/>
          <w:szCs w:val="22"/>
        </w:rPr>
        <w:t xml:space="preserve">5.00pm </w:t>
      </w:r>
      <w:r w:rsidRPr="00B767B7">
        <w:rPr>
          <w:sz w:val="22"/>
          <w:szCs w:val="22"/>
        </w:rPr>
        <w:t>in Room K-TO-624 Kingsway Campus and via Microsoft Teams.</w:t>
      </w:r>
    </w:p>
    <w:p w14:paraId="24405380" w14:textId="77777777" w:rsidR="00662185" w:rsidRPr="00B767B7" w:rsidRDefault="00662185" w:rsidP="00662185">
      <w:pPr>
        <w:pStyle w:val="BodyText"/>
        <w:rPr>
          <w:sz w:val="22"/>
          <w:szCs w:val="22"/>
        </w:rPr>
      </w:pPr>
    </w:p>
    <w:p w14:paraId="4D9EBE4E" w14:textId="77777777" w:rsidR="00662185" w:rsidRDefault="00662185" w:rsidP="00662185">
      <w:pPr>
        <w:pStyle w:val="BodyText"/>
        <w:spacing w:before="4"/>
        <w:rPr>
          <w:sz w:val="13"/>
        </w:rPr>
      </w:pPr>
    </w:p>
    <w:tbl>
      <w:tblPr>
        <w:tblW w:w="9985" w:type="dxa"/>
        <w:tblLayout w:type="fixed"/>
        <w:tblCellMar>
          <w:left w:w="0" w:type="dxa"/>
          <w:right w:w="0" w:type="dxa"/>
        </w:tblCellMar>
        <w:tblLook w:val="01E0" w:firstRow="1" w:lastRow="1" w:firstColumn="1" w:lastColumn="1" w:noHBand="0" w:noVBand="0"/>
      </w:tblPr>
      <w:tblGrid>
        <w:gridCol w:w="2127"/>
        <w:gridCol w:w="3969"/>
        <w:gridCol w:w="3889"/>
      </w:tblGrid>
      <w:tr w:rsidR="00BE1F69" w:rsidRPr="00BE1F69" w14:paraId="2FFD0F49" w14:textId="77777777" w:rsidTr="00662185">
        <w:trPr>
          <w:trHeight w:val="252"/>
        </w:trPr>
        <w:tc>
          <w:tcPr>
            <w:tcW w:w="2127" w:type="dxa"/>
          </w:tcPr>
          <w:p w14:paraId="5DF78E3A" w14:textId="77777777" w:rsidR="00662185" w:rsidRPr="00BE1F69" w:rsidRDefault="00662185" w:rsidP="00D843DF">
            <w:pPr>
              <w:pStyle w:val="TableParagraph"/>
              <w:spacing w:before="0" w:after="60"/>
              <w:rPr>
                <w:b/>
              </w:rPr>
            </w:pPr>
            <w:r w:rsidRPr="00BE1F69">
              <w:rPr>
                <w:b/>
              </w:rPr>
              <w:t>PRESENT:</w:t>
            </w:r>
          </w:p>
        </w:tc>
        <w:tc>
          <w:tcPr>
            <w:tcW w:w="3969" w:type="dxa"/>
          </w:tcPr>
          <w:p w14:paraId="7D182361" w14:textId="3CD03A6C" w:rsidR="00662185" w:rsidRPr="00BE1F69" w:rsidRDefault="00662185" w:rsidP="00D843DF">
            <w:pPr>
              <w:pStyle w:val="TableParagraph"/>
              <w:spacing w:before="0" w:after="60"/>
            </w:pPr>
            <w:r w:rsidRPr="00BE1F69">
              <w:t>Brian Lawrie</w:t>
            </w:r>
            <w:r w:rsidR="00712332" w:rsidRPr="00BE1F69">
              <w:t xml:space="preserve"> (</w:t>
            </w:r>
            <w:r w:rsidR="00275261" w:rsidRPr="00BE1F69">
              <w:t xml:space="preserve">Chair)  </w:t>
            </w:r>
            <w:r w:rsidRPr="00BE1F69">
              <w:t xml:space="preserve">             </w:t>
            </w:r>
          </w:p>
        </w:tc>
        <w:tc>
          <w:tcPr>
            <w:tcW w:w="3889" w:type="dxa"/>
          </w:tcPr>
          <w:p w14:paraId="2212380D" w14:textId="77777777" w:rsidR="00662185" w:rsidRPr="00BE1F69" w:rsidRDefault="00662185" w:rsidP="00D843DF">
            <w:pPr>
              <w:pStyle w:val="TableParagraph"/>
              <w:spacing w:before="0" w:after="60"/>
            </w:pPr>
            <w:r w:rsidRPr="00BE1F69">
              <w:t>Robert Young</w:t>
            </w:r>
          </w:p>
        </w:tc>
      </w:tr>
      <w:tr w:rsidR="00BE1F69" w:rsidRPr="00BE1F69" w14:paraId="27462B78" w14:textId="77777777" w:rsidTr="00662185">
        <w:trPr>
          <w:trHeight w:val="250"/>
        </w:trPr>
        <w:tc>
          <w:tcPr>
            <w:tcW w:w="2127" w:type="dxa"/>
          </w:tcPr>
          <w:p w14:paraId="1A401EB7" w14:textId="77777777" w:rsidR="00662185" w:rsidRPr="00BE1F69" w:rsidRDefault="00662185" w:rsidP="00D843DF">
            <w:pPr>
              <w:pStyle w:val="TableParagraph"/>
              <w:spacing w:before="0" w:after="60"/>
              <w:rPr>
                <w:sz w:val="18"/>
              </w:rPr>
            </w:pPr>
          </w:p>
        </w:tc>
        <w:tc>
          <w:tcPr>
            <w:tcW w:w="3969" w:type="dxa"/>
          </w:tcPr>
          <w:p w14:paraId="28E718FD" w14:textId="77777777" w:rsidR="00662185" w:rsidRPr="00BE1F69" w:rsidRDefault="00662185" w:rsidP="00D843DF">
            <w:pPr>
              <w:pStyle w:val="TableParagraph"/>
              <w:tabs>
                <w:tab w:val="center" w:pos="3050"/>
              </w:tabs>
              <w:spacing w:before="0" w:after="60"/>
            </w:pPr>
            <w:r w:rsidRPr="00BE1F69">
              <w:t xml:space="preserve">Stephen Oakley                      </w:t>
            </w:r>
          </w:p>
        </w:tc>
        <w:tc>
          <w:tcPr>
            <w:tcW w:w="3889" w:type="dxa"/>
          </w:tcPr>
          <w:p w14:paraId="44B678D4" w14:textId="77777777" w:rsidR="00662185" w:rsidRPr="00BE1F69" w:rsidRDefault="00662185" w:rsidP="00D843DF">
            <w:pPr>
              <w:pStyle w:val="TableParagraph"/>
              <w:spacing w:before="0" w:after="60"/>
            </w:pPr>
            <w:r w:rsidRPr="00BE1F69">
              <w:t xml:space="preserve">Simon Hewitt </w:t>
            </w:r>
            <w:r w:rsidRPr="00BE1F69">
              <w:tab/>
            </w:r>
          </w:p>
        </w:tc>
      </w:tr>
      <w:tr w:rsidR="00BE1F69" w:rsidRPr="00BE1F69" w14:paraId="52195467" w14:textId="77777777" w:rsidTr="00662185">
        <w:trPr>
          <w:trHeight w:val="250"/>
        </w:trPr>
        <w:tc>
          <w:tcPr>
            <w:tcW w:w="2127" w:type="dxa"/>
          </w:tcPr>
          <w:p w14:paraId="49FE54E3" w14:textId="77777777" w:rsidR="00662185" w:rsidRPr="00BE1F69" w:rsidRDefault="00662185" w:rsidP="00D843DF">
            <w:pPr>
              <w:pStyle w:val="TableParagraph"/>
              <w:spacing w:before="0" w:after="60"/>
              <w:rPr>
                <w:sz w:val="18"/>
              </w:rPr>
            </w:pPr>
          </w:p>
        </w:tc>
        <w:tc>
          <w:tcPr>
            <w:tcW w:w="3969" w:type="dxa"/>
          </w:tcPr>
          <w:p w14:paraId="3D0B6E71" w14:textId="6725A43D" w:rsidR="00662185" w:rsidRPr="00BE1F69" w:rsidRDefault="00662185" w:rsidP="00BE1F69">
            <w:pPr>
              <w:pStyle w:val="TableParagraph"/>
              <w:tabs>
                <w:tab w:val="center" w:pos="3050"/>
              </w:tabs>
              <w:spacing w:before="0" w:after="60"/>
            </w:pPr>
            <w:r w:rsidRPr="00BE1F69">
              <w:t>Ged Bell</w:t>
            </w:r>
            <w:r w:rsidRPr="00BE1F69">
              <w:tab/>
              <w:t xml:space="preserve">                </w:t>
            </w:r>
          </w:p>
        </w:tc>
        <w:tc>
          <w:tcPr>
            <w:tcW w:w="3889" w:type="dxa"/>
          </w:tcPr>
          <w:p w14:paraId="7A98C70E" w14:textId="53799ED5" w:rsidR="004D78C2" w:rsidRPr="00BE1F69" w:rsidRDefault="00662185" w:rsidP="00BE1F69">
            <w:pPr>
              <w:pStyle w:val="TableParagraph"/>
              <w:spacing w:before="0" w:after="60"/>
            </w:pPr>
            <w:r w:rsidRPr="00BE1F69">
              <w:t>Donald Mackenzie</w:t>
            </w:r>
          </w:p>
        </w:tc>
      </w:tr>
      <w:tr w:rsidR="00623C29" w:rsidRPr="00BE1F69" w14:paraId="6533D987" w14:textId="77777777" w:rsidTr="00662185">
        <w:trPr>
          <w:trHeight w:val="354"/>
        </w:trPr>
        <w:tc>
          <w:tcPr>
            <w:tcW w:w="2127" w:type="dxa"/>
          </w:tcPr>
          <w:p w14:paraId="470FEA47" w14:textId="77777777" w:rsidR="00623C29" w:rsidRPr="00BE1F69" w:rsidRDefault="00623C29" w:rsidP="00D843DF">
            <w:pPr>
              <w:pStyle w:val="TableParagraph"/>
              <w:spacing w:before="0" w:after="60"/>
              <w:rPr>
                <w:sz w:val="18"/>
              </w:rPr>
            </w:pPr>
          </w:p>
        </w:tc>
        <w:tc>
          <w:tcPr>
            <w:tcW w:w="3969" w:type="dxa"/>
          </w:tcPr>
          <w:p w14:paraId="489B8E65" w14:textId="280C2E5B" w:rsidR="00623C29" w:rsidRPr="00BE1F69" w:rsidRDefault="00623C29" w:rsidP="00D843DF">
            <w:pPr>
              <w:pStyle w:val="TableParagraph"/>
              <w:tabs>
                <w:tab w:val="center" w:pos="3050"/>
              </w:tabs>
              <w:spacing w:before="0" w:after="60"/>
            </w:pPr>
            <w:r w:rsidRPr="00BE1F69">
              <w:t>Derek Smith</w:t>
            </w:r>
          </w:p>
        </w:tc>
        <w:tc>
          <w:tcPr>
            <w:tcW w:w="3889" w:type="dxa"/>
          </w:tcPr>
          <w:p w14:paraId="12B2820D" w14:textId="10367AD8" w:rsidR="00623C29" w:rsidRPr="00BE1F69" w:rsidRDefault="00BE1F69" w:rsidP="00D843DF">
            <w:pPr>
              <w:spacing w:after="60"/>
            </w:pPr>
            <w:r w:rsidRPr="00BE1F69">
              <w:t>Kirstin Marsh</w:t>
            </w:r>
          </w:p>
        </w:tc>
      </w:tr>
      <w:tr w:rsidR="00BE1F69" w:rsidRPr="00BE1F69" w14:paraId="02C2EB2B" w14:textId="77777777" w:rsidTr="00662185">
        <w:trPr>
          <w:trHeight w:val="354"/>
        </w:trPr>
        <w:tc>
          <w:tcPr>
            <w:tcW w:w="2127" w:type="dxa"/>
          </w:tcPr>
          <w:p w14:paraId="30C7D80C" w14:textId="77777777" w:rsidR="00662185" w:rsidRPr="00BE1F69" w:rsidRDefault="00662185" w:rsidP="00D843DF">
            <w:pPr>
              <w:pStyle w:val="TableParagraph"/>
              <w:spacing w:before="0" w:after="60"/>
              <w:rPr>
                <w:sz w:val="18"/>
              </w:rPr>
            </w:pPr>
          </w:p>
        </w:tc>
        <w:tc>
          <w:tcPr>
            <w:tcW w:w="3969" w:type="dxa"/>
          </w:tcPr>
          <w:p w14:paraId="7DB81C06" w14:textId="2BBF700B" w:rsidR="00662185" w:rsidRPr="00BE1F69" w:rsidRDefault="00623C29" w:rsidP="00D843DF">
            <w:pPr>
              <w:pStyle w:val="TableParagraph"/>
              <w:tabs>
                <w:tab w:val="center" w:pos="3050"/>
              </w:tabs>
              <w:spacing w:before="0" w:after="60"/>
            </w:pPr>
            <w:r w:rsidRPr="00BE1F69">
              <w:t>Laurie O</w:t>
            </w:r>
            <w:r w:rsidR="00BE1F69" w:rsidRPr="00BE1F69">
              <w:t>’Donnell</w:t>
            </w:r>
          </w:p>
        </w:tc>
        <w:tc>
          <w:tcPr>
            <w:tcW w:w="3889" w:type="dxa"/>
          </w:tcPr>
          <w:p w14:paraId="1B17FFF4" w14:textId="1746A92A" w:rsidR="00662185" w:rsidRPr="00BE1F69" w:rsidRDefault="00BE1F69" w:rsidP="00D843DF">
            <w:pPr>
              <w:spacing w:after="60"/>
            </w:pPr>
            <w:r w:rsidRPr="00BE1F69">
              <w:t>Richard Gordon (Observer)</w:t>
            </w:r>
          </w:p>
        </w:tc>
      </w:tr>
      <w:tr w:rsidR="00623C29" w:rsidRPr="00BE1F69" w14:paraId="717623F8" w14:textId="77777777" w:rsidTr="00662185">
        <w:trPr>
          <w:trHeight w:val="354"/>
        </w:trPr>
        <w:tc>
          <w:tcPr>
            <w:tcW w:w="2127" w:type="dxa"/>
          </w:tcPr>
          <w:p w14:paraId="6D0C1607" w14:textId="77777777" w:rsidR="00623C29" w:rsidRPr="00BE1F69" w:rsidRDefault="00623C29" w:rsidP="00D843DF">
            <w:pPr>
              <w:pStyle w:val="TableParagraph"/>
              <w:spacing w:before="0" w:after="60"/>
              <w:rPr>
                <w:sz w:val="18"/>
              </w:rPr>
            </w:pPr>
          </w:p>
        </w:tc>
        <w:tc>
          <w:tcPr>
            <w:tcW w:w="3969" w:type="dxa"/>
          </w:tcPr>
          <w:p w14:paraId="03B5F8D7" w14:textId="1D1CA109" w:rsidR="00623C29" w:rsidRPr="00BE1F69" w:rsidRDefault="00BE1F69" w:rsidP="00D843DF">
            <w:pPr>
              <w:pStyle w:val="TableParagraph"/>
              <w:tabs>
                <w:tab w:val="center" w:pos="3050"/>
              </w:tabs>
              <w:spacing w:before="0" w:after="60"/>
            </w:pPr>
            <w:r w:rsidRPr="00BE1F69">
              <w:t>Colin Smith</w:t>
            </w:r>
          </w:p>
        </w:tc>
        <w:tc>
          <w:tcPr>
            <w:tcW w:w="3889" w:type="dxa"/>
          </w:tcPr>
          <w:p w14:paraId="771811F7" w14:textId="77777777" w:rsidR="00623C29" w:rsidRPr="00BE1F69" w:rsidRDefault="00623C29" w:rsidP="00D843DF">
            <w:pPr>
              <w:spacing w:after="60"/>
            </w:pPr>
          </w:p>
        </w:tc>
      </w:tr>
    </w:tbl>
    <w:p w14:paraId="0AC47497" w14:textId="77777777" w:rsidR="00662185" w:rsidRDefault="00662185" w:rsidP="00662185"/>
    <w:tbl>
      <w:tblPr>
        <w:tblW w:w="9985" w:type="dxa"/>
        <w:tblLayout w:type="fixed"/>
        <w:tblCellMar>
          <w:left w:w="0" w:type="dxa"/>
          <w:right w:w="0" w:type="dxa"/>
        </w:tblCellMar>
        <w:tblLook w:val="01E0" w:firstRow="1" w:lastRow="1" w:firstColumn="1" w:lastColumn="1" w:noHBand="0" w:noVBand="0"/>
      </w:tblPr>
      <w:tblGrid>
        <w:gridCol w:w="2122"/>
        <w:gridCol w:w="4115"/>
        <w:gridCol w:w="3748"/>
      </w:tblGrid>
      <w:tr w:rsidR="00662185" w:rsidRPr="003A5759" w14:paraId="788F9A6F" w14:textId="77777777" w:rsidTr="00D843DF">
        <w:trPr>
          <w:trHeight w:val="251"/>
        </w:trPr>
        <w:tc>
          <w:tcPr>
            <w:tcW w:w="2122" w:type="dxa"/>
          </w:tcPr>
          <w:p w14:paraId="2DB97F87" w14:textId="77777777" w:rsidR="00662185" w:rsidRPr="003A5759" w:rsidRDefault="00662185" w:rsidP="00D843DF">
            <w:pPr>
              <w:pStyle w:val="TableParagraph"/>
              <w:spacing w:before="0" w:after="60"/>
              <w:rPr>
                <w:b/>
              </w:rPr>
            </w:pPr>
            <w:r w:rsidRPr="003A5759">
              <w:rPr>
                <w:b/>
              </w:rPr>
              <w:t>IN ATTENDANCE:</w:t>
            </w:r>
          </w:p>
        </w:tc>
        <w:tc>
          <w:tcPr>
            <w:tcW w:w="7863" w:type="dxa"/>
            <w:gridSpan w:val="2"/>
          </w:tcPr>
          <w:p w14:paraId="405E3121" w14:textId="77777777" w:rsidR="00662185" w:rsidRPr="008759E8" w:rsidRDefault="00662185" w:rsidP="00D843DF">
            <w:pPr>
              <w:pStyle w:val="TableParagraph"/>
              <w:spacing w:before="0" w:after="60"/>
            </w:pPr>
            <w:r w:rsidRPr="008759E8">
              <w:t>Steve Taylor (Vice Principal Support Services and Operations)</w:t>
            </w:r>
          </w:p>
        </w:tc>
      </w:tr>
      <w:tr w:rsidR="00662185" w:rsidRPr="003A5759" w14:paraId="052E88CA" w14:textId="77777777" w:rsidTr="00D843DF">
        <w:trPr>
          <w:trHeight w:val="251"/>
        </w:trPr>
        <w:tc>
          <w:tcPr>
            <w:tcW w:w="2122" w:type="dxa"/>
          </w:tcPr>
          <w:p w14:paraId="38249BF2" w14:textId="77777777" w:rsidR="00662185" w:rsidRPr="003A5759" w:rsidRDefault="00662185" w:rsidP="00D843DF">
            <w:pPr>
              <w:pStyle w:val="TableParagraph"/>
              <w:spacing w:before="0" w:after="60"/>
              <w:rPr>
                <w:sz w:val="18"/>
              </w:rPr>
            </w:pPr>
          </w:p>
        </w:tc>
        <w:tc>
          <w:tcPr>
            <w:tcW w:w="7863" w:type="dxa"/>
            <w:gridSpan w:val="2"/>
          </w:tcPr>
          <w:p w14:paraId="6F7F640F" w14:textId="77777777" w:rsidR="00662185" w:rsidRPr="008759E8" w:rsidRDefault="00662185" w:rsidP="00D843DF">
            <w:pPr>
              <w:pStyle w:val="TableParagraph"/>
              <w:spacing w:before="0" w:after="60"/>
            </w:pPr>
            <w:r w:rsidRPr="008759E8">
              <w:t>Julie Grace (Vice Principal Curriculum and Partnerships)</w:t>
            </w:r>
          </w:p>
        </w:tc>
      </w:tr>
      <w:tr w:rsidR="00662185" w:rsidRPr="003A5759" w14:paraId="4EA1AEF0" w14:textId="77777777" w:rsidTr="00BE1F69">
        <w:trPr>
          <w:trHeight w:val="251"/>
        </w:trPr>
        <w:tc>
          <w:tcPr>
            <w:tcW w:w="2122" w:type="dxa"/>
          </w:tcPr>
          <w:p w14:paraId="6542723D" w14:textId="77777777" w:rsidR="00662185" w:rsidRPr="003A5759" w:rsidRDefault="00662185" w:rsidP="00D843DF">
            <w:pPr>
              <w:pStyle w:val="TableParagraph"/>
              <w:spacing w:before="0" w:after="60"/>
              <w:rPr>
                <w:sz w:val="18"/>
              </w:rPr>
            </w:pPr>
          </w:p>
        </w:tc>
        <w:tc>
          <w:tcPr>
            <w:tcW w:w="4115" w:type="dxa"/>
          </w:tcPr>
          <w:p w14:paraId="41258B97" w14:textId="77777777" w:rsidR="00662185" w:rsidRPr="009463C9" w:rsidRDefault="00662185" w:rsidP="00D843DF">
            <w:pPr>
              <w:pStyle w:val="TableParagraph"/>
              <w:spacing w:before="0" w:after="60"/>
            </w:pPr>
            <w:r w:rsidRPr="009463C9">
              <w:t>Andy Ross (Director of Infrastructure)</w:t>
            </w:r>
          </w:p>
        </w:tc>
        <w:tc>
          <w:tcPr>
            <w:tcW w:w="3748" w:type="dxa"/>
          </w:tcPr>
          <w:p w14:paraId="5868FC3E" w14:textId="405DA3E4" w:rsidR="00662185" w:rsidRPr="00494F56" w:rsidRDefault="00BE1F69" w:rsidP="00BE1F69">
            <w:pPr>
              <w:pStyle w:val="TableParagraph"/>
              <w:spacing w:before="0" w:line="276" w:lineRule="auto"/>
              <w:rPr>
                <w:color w:val="FF0000"/>
              </w:rPr>
            </w:pPr>
            <w:r w:rsidRPr="00D016B7">
              <w:t>Nicky Anderson (Director of Finance)</w:t>
            </w:r>
          </w:p>
        </w:tc>
      </w:tr>
      <w:tr w:rsidR="00662185" w:rsidRPr="003A5759" w14:paraId="547AB99D" w14:textId="77777777" w:rsidTr="00BE1F69">
        <w:trPr>
          <w:trHeight w:val="253"/>
        </w:trPr>
        <w:tc>
          <w:tcPr>
            <w:tcW w:w="2122" w:type="dxa"/>
          </w:tcPr>
          <w:p w14:paraId="2BC113EA" w14:textId="77777777" w:rsidR="00662185" w:rsidRPr="003A5759" w:rsidRDefault="00662185" w:rsidP="00D843DF">
            <w:pPr>
              <w:pStyle w:val="TableParagraph"/>
              <w:spacing w:before="0" w:after="60"/>
              <w:rPr>
                <w:sz w:val="18"/>
              </w:rPr>
            </w:pPr>
          </w:p>
        </w:tc>
        <w:tc>
          <w:tcPr>
            <w:tcW w:w="4115" w:type="dxa"/>
          </w:tcPr>
          <w:p w14:paraId="2925D2F9" w14:textId="3D5BDEC1" w:rsidR="00662185" w:rsidRPr="00EE61DC" w:rsidRDefault="00662185" w:rsidP="00CA4EAA">
            <w:pPr>
              <w:pStyle w:val="TableParagraph"/>
              <w:spacing w:before="0" w:line="276" w:lineRule="auto"/>
              <w:rPr>
                <w:color w:val="000000" w:themeColor="text1"/>
              </w:rPr>
            </w:pPr>
            <w:r w:rsidRPr="007F215B">
              <w:t>Billy Grace (Head of Estates and Sustainability)</w:t>
            </w:r>
          </w:p>
        </w:tc>
        <w:tc>
          <w:tcPr>
            <w:tcW w:w="3748" w:type="dxa"/>
          </w:tcPr>
          <w:p w14:paraId="2B1B6191" w14:textId="2071D3B3" w:rsidR="00662185" w:rsidRPr="00494F56" w:rsidRDefault="00BE1F69" w:rsidP="00D843DF">
            <w:pPr>
              <w:pStyle w:val="TableParagraph"/>
              <w:spacing w:before="0" w:after="60"/>
              <w:rPr>
                <w:color w:val="FF0000"/>
              </w:rPr>
            </w:pPr>
            <w:r w:rsidRPr="007F215B">
              <w:t>Penny Muir (Board Administrator)</w:t>
            </w:r>
          </w:p>
        </w:tc>
      </w:tr>
    </w:tbl>
    <w:p w14:paraId="41AA53ED" w14:textId="77777777" w:rsidR="00662185" w:rsidRPr="00CA4EAA" w:rsidRDefault="00662185" w:rsidP="00CA4EAA">
      <w:pPr>
        <w:pStyle w:val="Heading1"/>
        <w:spacing w:before="0" w:after="0"/>
        <w:rPr>
          <w:rFonts w:ascii="Arial" w:hAnsi="Arial" w:cs="Arial"/>
          <w:sz w:val="22"/>
          <w:szCs w:val="22"/>
        </w:rPr>
      </w:pPr>
    </w:p>
    <w:tbl>
      <w:tblPr>
        <w:tblW w:w="9923" w:type="dxa"/>
        <w:tblLayout w:type="fixed"/>
        <w:tblCellMar>
          <w:left w:w="0" w:type="dxa"/>
          <w:right w:w="0" w:type="dxa"/>
        </w:tblCellMar>
        <w:tblLook w:val="01E0" w:firstRow="1" w:lastRow="1" w:firstColumn="1" w:lastColumn="1" w:noHBand="0" w:noVBand="0"/>
      </w:tblPr>
      <w:tblGrid>
        <w:gridCol w:w="567"/>
        <w:gridCol w:w="9356"/>
      </w:tblGrid>
      <w:tr w:rsidR="00BE1F69" w:rsidRPr="00147E3B" w14:paraId="6ED605A9" w14:textId="77777777" w:rsidTr="00CA4EAA">
        <w:trPr>
          <w:trHeight w:val="479"/>
        </w:trPr>
        <w:tc>
          <w:tcPr>
            <w:tcW w:w="567" w:type="dxa"/>
          </w:tcPr>
          <w:p w14:paraId="3E628F81"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00BDD9D4" w14:textId="77777777" w:rsidR="00BE1F69" w:rsidRDefault="00BE1F69" w:rsidP="00D843DF">
            <w:pPr>
              <w:pStyle w:val="TableParagraph"/>
              <w:spacing w:before="0"/>
              <w:rPr>
                <w:b/>
              </w:rPr>
            </w:pPr>
            <w:r w:rsidRPr="00147E3B">
              <w:rPr>
                <w:b/>
              </w:rPr>
              <w:t>WELCOME</w:t>
            </w:r>
          </w:p>
          <w:p w14:paraId="36E348E6" w14:textId="77777777" w:rsidR="00BE1F69" w:rsidRDefault="00BE1F69" w:rsidP="00D843DF">
            <w:pPr>
              <w:pStyle w:val="TableParagraph"/>
              <w:spacing w:before="0"/>
              <w:rPr>
                <w:b/>
              </w:rPr>
            </w:pPr>
          </w:p>
          <w:p w14:paraId="1D797EA4" w14:textId="25FD0197" w:rsidR="00BE1F69" w:rsidRDefault="00BE1F69" w:rsidP="00D843DF">
            <w:pPr>
              <w:pStyle w:val="TableParagraph"/>
              <w:spacing w:before="0"/>
              <w:rPr>
                <w:b/>
              </w:rPr>
            </w:pPr>
            <w:r w:rsidRPr="00825236">
              <w:rPr>
                <w:bCs/>
              </w:rPr>
              <w:t xml:space="preserve">B Lawrie welcomed everyone </w:t>
            </w:r>
            <w:r>
              <w:rPr>
                <w:bCs/>
              </w:rPr>
              <w:t>and welcomed Kirstin Marsh and Colin Smith to their first Finance &amp; Infrastructure Committee meeting</w:t>
            </w:r>
            <w:r w:rsidR="00061B24">
              <w:rPr>
                <w:bCs/>
              </w:rPr>
              <w:t xml:space="preserve"> and welcomed Richard Gordon as an observer.</w:t>
            </w:r>
          </w:p>
          <w:p w14:paraId="66280A9F" w14:textId="77777777" w:rsidR="00BE1F69" w:rsidRPr="00147E3B" w:rsidRDefault="00BE1F69" w:rsidP="00D843DF">
            <w:pPr>
              <w:pStyle w:val="TableParagraph"/>
              <w:spacing w:before="0"/>
              <w:rPr>
                <w:b/>
              </w:rPr>
            </w:pPr>
          </w:p>
        </w:tc>
      </w:tr>
      <w:tr w:rsidR="00BE1F69" w:rsidRPr="00147E3B" w14:paraId="40D3AD19" w14:textId="77777777" w:rsidTr="00CA4EAA">
        <w:trPr>
          <w:trHeight w:val="506"/>
        </w:trPr>
        <w:tc>
          <w:tcPr>
            <w:tcW w:w="567" w:type="dxa"/>
          </w:tcPr>
          <w:p w14:paraId="23A42101"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5B06074E" w14:textId="77777777" w:rsidR="00BE1F69" w:rsidRDefault="00BE1F69" w:rsidP="00D843DF">
            <w:pPr>
              <w:pStyle w:val="TableParagraph"/>
              <w:spacing w:before="0"/>
              <w:rPr>
                <w:b/>
              </w:rPr>
            </w:pPr>
            <w:r w:rsidRPr="00147E3B">
              <w:rPr>
                <w:b/>
              </w:rPr>
              <w:t>APOLOGIES</w:t>
            </w:r>
          </w:p>
          <w:p w14:paraId="3D6B597C" w14:textId="77777777" w:rsidR="00BE1F69" w:rsidRDefault="00BE1F69" w:rsidP="00D843DF">
            <w:pPr>
              <w:pStyle w:val="TableParagraph"/>
              <w:spacing w:before="0"/>
              <w:rPr>
                <w:b/>
              </w:rPr>
            </w:pPr>
          </w:p>
          <w:p w14:paraId="6DA6E8CB" w14:textId="550F66D2" w:rsidR="00BE1F69" w:rsidRDefault="00BE1F69" w:rsidP="00D843DF">
            <w:pPr>
              <w:pStyle w:val="TableParagraph"/>
              <w:spacing w:before="0"/>
              <w:rPr>
                <w:b/>
              </w:rPr>
            </w:pPr>
            <w:r w:rsidRPr="00825236">
              <w:rPr>
                <w:bCs/>
              </w:rPr>
              <w:t>Apologies were noted</w:t>
            </w:r>
            <w:r>
              <w:rPr>
                <w:bCs/>
              </w:rPr>
              <w:t xml:space="preserve"> from</w:t>
            </w:r>
            <w:r w:rsidRPr="00825236">
              <w:rPr>
                <w:bCs/>
              </w:rPr>
              <w:t xml:space="preserve"> Donna Fordyce</w:t>
            </w:r>
            <w:r>
              <w:rPr>
                <w:bCs/>
              </w:rPr>
              <w:t xml:space="preserve"> and Derek Stewart  </w:t>
            </w:r>
            <w:r w:rsidR="00E17EBF">
              <w:rPr>
                <w:bCs/>
              </w:rPr>
              <w:t>(</w:t>
            </w:r>
            <w:r>
              <w:rPr>
                <w:bCs/>
              </w:rPr>
              <w:t>both co-opted members)</w:t>
            </w:r>
            <w:r w:rsidRPr="00825236">
              <w:rPr>
                <w:bCs/>
              </w:rPr>
              <w:t>.</w:t>
            </w:r>
          </w:p>
          <w:p w14:paraId="6A92D989" w14:textId="77777777" w:rsidR="00BE1F69" w:rsidRPr="00147E3B" w:rsidRDefault="00BE1F69" w:rsidP="00D843DF">
            <w:pPr>
              <w:pStyle w:val="TableParagraph"/>
              <w:spacing w:before="0"/>
              <w:rPr>
                <w:b/>
              </w:rPr>
            </w:pPr>
          </w:p>
        </w:tc>
      </w:tr>
      <w:tr w:rsidR="00BE1F69" w:rsidRPr="00147E3B" w14:paraId="00789A5D" w14:textId="77777777" w:rsidTr="00CA4EAA">
        <w:trPr>
          <w:trHeight w:val="506"/>
        </w:trPr>
        <w:tc>
          <w:tcPr>
            <w:tcW w:w="567" w:type="dxa"/>
          </w:tcPr>
          <w:p w14:paraId="13A47E83"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3E22ECBC" w14:textId="27CD38DF" w:rsidR="00BE1F69" w:rsidRDefault="00BE1F69" w:rsidP="00D843DF">
            <w:pPr>
              <w:pStyle w:val="TableParagraph"/>
              <w:spacing w:before="0"/>
              <w:rPr>
                <w:b/>
              </w:rPr>
            </w:pPr>
            <w:r w:rsidRPr="00147E3B">
              <w:rPr>
                <w:b/>
              </w:rPr>
              <w:t>DECLARATIONS OF CONNECTION &amp; INTEREST</w:t>
            </w:r>
          </w:p>
          <w:p w14:paraId="32377069" w14:textId="77777777" w:rsidR="00BE1F69" w:rsidRDefault="00BE1F69" w:rsidP="00D843DF">
            <w:pPr>
              <w:pStyle w:val="TableParagraph"/>
              <w:spacing w:before="0"/>
              <w:rPr>
                <w:b/>
              </w:rPr>
            </w:pPr>
          </w:p>
          <w:p w14:paraId="1B7142AC" w14:textId="6DB05383" w:rsidR="00BE1F69" w:rsidRDefault="00BE1F69" w:rsidP="00D843DF">
            <w:pPr>
              <w:pStyle w:val="TableParagraph"/>
              <w:spacing w:before="0"/>
              <w:rPr>
                <w:b/>
              </w:rPr>
            </w:pPr>
            <w:r w:rsidRPr="00825236">
              <w:t xml:space="preserve">There were no declarations of interest or connection. </w:t>
            </w:r>
          </w:p>
          <w:p w14:paraId="289626AE" w14:textId="77777777" w:rsidR="00BE1F69" w:rsidRPr="00147E3B" w:rsidRDefault="00BE1F69" w:rsidP="00D843DF">
            <w:pPr>
              <w:pStyle w:val="TableParagraph"/>
              <w:spacing w:before="0"/>
              <w:rPr>
                <w:b/>
              </w:rPr>
            </w:pPr>
          </w:p>
        </w:tc>
      </w:tr>
      <w:tr w:rsidR="00BE1F69" w:rsidRPr="00147E3B" w14:paraId="182A53D9" w14:textId="77777777" w:rsidTr="00CA4EAA">
        <w:trPr>
          <w:trHeight w:val="506"/>
        </w:trPr>
        <w:tc>
          <w:tcPr>
            <w:tcW w:w="567" w:type="dxa"/>
          </w:tcPr>
          <w:p w14:paraId="2DC6A4C6"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38AC023E" w14:textId="1EB59C39" w:rsidR="00BE1F69" w:rsidRDefault="00BE1F69" w:rsidP="00D843DF">
            <w:pPr>
              <w:pStyle w:val="TableParagraph"/>
              <w:spacing w:before="0"/>
            </w:pPr>
            <w:r w:rsidRPr="00147E3B">
              <w:rPr>
                <w:b/>
              </w:rPr>
              <w:t xml:space="preserve">MINUTE OF THE PREVIOUS MEETING </w:t>
            </w:r>
          </w:p>
          <w:p w14:paraId="62343862" w14:textId="77777777" w:rsidR="00BE1F69" w:rsidRDefault="00BE1F69" w:rsidP="00D843DF">
            <w:pPr>
              <w:pStyle w:val="TableParagraph"/>
              <w:spacing w:before="0"/>
            </w:pPr>
          </w:p>
          <w:p w14:paraId="085BF426" w14:textId="77777777" w:rsidR="00BE1F69" w:rsidRDefault="00BE1F69" w:rsidP="00D843DF">
            <w:pPr>
              <w:pStyle w:val="TableParagraph"/>
              <w:spacing w:before="0"/>
            </w:pPr>
            <w:r w:rsidRPr="00825236">
              <w:t xml:space="preserve">The minute of the Finance and </w:t>
            </w:r>
            <w:r>
              <w:t>Infrastructure</w:t>
            </w:r>
            <w:r w:rsidRPr="00825236">
              <w:t xml:space="preserve"> Committee meeting held on 2</w:t>
            </w:r>
            <w:r>
              <w:t>7</w:t>
            </w:r>
            <w:r w:rsidRPr="00825236">
              <w:t xml:space="preserve"> </w:t>
            </w:r>
            <w:r>
              <w:t>Ma</w:t>
            </w:r>
            <w:r w:rsidRPr="00825236">
              <w:t>y 2025 was approved as an accurate record.</w:t>
            </w:r>
          </w:p>
          <w:p w14:paraId="39DEE059" w14:textId="55775B6D" w:rsidR="00061B24" w:rsidRPr="00FE1B25" w:rsidRDefault="00061B24" w:rsidP="00D843DF">
            <w:pPr>
              <w:pStyle w:val="TableParagraph"/>
              <w:spacing w:before="0"/>
            </w:pPr>
          </w:p>
        </w:tc>
      </w:tr>
      <w:tr w:rsidR="00BE1F69" w:rsidRPr="00147E3B" w14:paraId="103E0819" w14:textId="77777777" w:rsidTr="00CA4EAA">
        <w:trPr>
          <w:trHeight w:val="465"/>
        </w:trPr>
        <w:tc>
          <w:tcPr>
            <w:tcW w:w="567" w:type="dxa"/>
          </w:tcPr>
          <w:p w14:paraId="2ADF66CD"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130D5DAF" w14:textId="77777777" w:rsidR="00BE1F69" w:rsidRDefault="00BE1F69" w:rsidP="00D843DF">
            <w:pPr>
              <w:pStyle w:val="TableParagraph"/>
              <w:spacing w:before="0"/>
              <w:rPr>
                <w:b/>
              </w:rPr>
            </w:pPr>
            <w:r w:rsidRPr="00147E3B">
              <w:rPr>
                <w:b/>
              </w:rPr>
              <w:t>MATTERS ARISING</w:t>
            </w:r>
          </w:p>
          <w:p w14:paraId="77930ADB" w14:textId="77777777" w:rsidR="00BE1F69" w:rsidRDefault="00BE1F69" w:rsidP="00D843DF">
            <w:pPr>
              <w:pStyle w:val="TableParagraph"/>
              <w:spacing w:before="0"/>
              <w:rPr>
                <w:b/>
              </w:rPr>
            </w:pPr>
          </w:p>
          <w:p w14:paraId="42539872" w14:textId="1DDBEF4C" w:rsidR="00BE1F69" w:rsidRDefault="00BE1F69" w:rsidP="00061B24">
            <w:pPr>
              <w:pStyle w:val="TableParagraph"/>
              <w:rPr>
                <w:b/>
              </w:rPr>
            </w:pPr>
            <w:r w:rsidRPr="00E97DFC">
              <w:rPr>
                <w:bCs/>
              </w:rPr>
              <w:t>All matters arising have been completed or are addressed in the current agenda.</w:t>
            </w:r>
          </w:p>
          <w:p w14:paraId="57779E70" w14:textId="77777777" w:rsidR="00BE1F69" w:rsidRPr="00147E3B" w:rsidRDefault="00BE1F69" w:rsidP="00D843DF">
            <w:pPr>
              <w:pStyle w:val="TableParagraph"/>
              <w:spacing w:before="0"/>
            </w:pPr>
          </w:p>
        </w:tc>
      </w:tr>
      <w:tr w:rsidR="00BE1F69" w:rsidRPr="00147E3B" w14:paraId="5D860019" w14:textId="77777777" w:rsidTr="00CA4EAA">
        <w:trPr>
          <w:trHeight w:val="1666"/>
        </w:trPr>
        <w:tc>
          <w:tcPr>
            <w:tcW w:w="567" w:type="dxa"/>
          </w:tcPr>
          <w:p w14:paraId="36C957C9"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65399667" w14:textId="77777777" w:rsidR="00BE1F69" w:rsidRPr="00147E3B" w:rsidRDefault="00BE1F69" w:rsidP="00D843DF">
            <w:pPr>
              <w:pStyle w:val="TableParagraph"/>
              <w:spacing w:before="0"/>
              <w:rPr>
                <w:b/>
              </w:rPr>
            </w:pPr>
            <w:r>
              <w:rPr>
                <w:b/>
              </w:rPr>
              <w:t>FINANCE</w:t>
            </w:r>
          </w:p>
          <w:p w14:paraId="6D4BEC32" w14:textId="77777777" w:rsidR="00BE1F69" w:rsidRPr="00147E3B" w:rsidRDefault="00BE1F69" w:rsidP="00D843DF">
            <w:pPr>
              <w:pStyle w:val="TableParagraph"/>
              <w:spacing w:before="0"/>
              <w:rPr>
                <w:b/>
              </w:rPr>
            </w:pPr>
          </w:p>
          <w:p w14:paraId="14B120E5" w14:textId="77777777" w:rsidR="00BE1F69" w:rsidRPr="00147E3B" w:rsidRDefault="00BE1F69" w:rsidP="00662185">
            <w:pPr>
              <w:pStyle w:val="ListParagraph"/>
              <w:numPr>
                <w:ilvl w:val="0"/>
                <w:numId w:val="2"/>
              </w:numPr>
              <w:contextualSpacing w:val="0"/>
              <w:rPr>
                <w:b/>
                <w:vanish/>
                <w:lang w:eastAsia="en-US"/>
              </w:rPr>
            </w:pPr>
          </w:p>
          <w:p w14:paraId="6A47A5DD" w14:textId="77777777" w:rsidR="00BE1F69" w:rsidRPr="00147E3B" w:rsidRDefault="00BE1F69" w:rsidP="00662185">
            <w:pPr>
              <w:pStyle w:val="ListParagraph"/>
              <w:numPr>
                <w:ilvl w:val="0"/>
                <w:numId w:val="2"/>
              </w:numPr>
              <w:contextualSpacing w:val="0"/>
              <w:rPr>
                <w:b/>
                <w:vanish/>
                <w:lang w:eastAsia="en-US"/>
              </w:rPr>
            </w:pPr>
          </w:p>
          <w:p w14:paraId="59B303B9" w14:textId="77777777" w:rsidR="00BE1F69" w:rsidRPr="00147E3B" w:rsidRDefault="00BE1F69" w:rsidP="00662185">
            <w:pPr>
              <w:pStyle w:val="ListParagraph"/>
              <w:numPr>
                <w:ilvl w:val="0"/>
                <w:numId w:val="2"/>
              </w:numPr>
              <w:contextualSpacing w:val="0"/>
              <w:rPr>
                <w:b/>
                <w:vanish/>
                <w:lang w:eastAsia="en-US"/>
              </w:rPr>
            </w:pPr>
          </w:p>
          <w:p w14:paraId="43A2B463" w14:textId="77777777" w:rsidR="00BE1F69" w:rsidRPr="00147E3B" w:rsidRDefault="00BE1F69" w:rsidP="00662185">
            <w:pPr>
              <w:pStyle w:val="ListParagraph"/>
              <w:numPr>
                <w:ilvl w:val="0"/>
                <w:numId w:val="2"/>
              </w:numPr>
              <w:contextualSpacing w:val="0"/>
              <w:rPr>
                <w:b/>
                <w:vanish/>
                <w:lang w:eastAsia="en-US"/>
              </w:rPr>
            </w:pPr>
          </w:p>
          <w:p w14:paraId="53EF0E2F" w14:textId="77777777" w:rsidR="00BE1F69" w:rsidRPr="00147E3B" w:rsidRDefault="00BE1F69" w:rsidP="00662185">
            <w:pPr>
              <w:pStyle w:val="ListParagraph"/>
              <w:numPr>
                <w:ilvl w:val="0"/>
                <w:numId w:val="2"/>
              </w:numPr>
              <w:contextualSpacing w:val="0"/>
              <w:rPr>
                <w:b/>
                <w:vanish/>
                <w:lang w:eastAsia="en-US"/>
              </w:rPr>
            </w:pPr>
          </w:p>
          <w:p w14:paraId="15000136" w14:textId="77777777" w:rsidR="00BE1F69" w:rsidRPr="00147E3B" w:rsidRDefault="00BE1F69" w:rsidP="00662185">
            <w:pPr>
              <w:pStyle w:val="ListParagraph"/>
              <w:numPr>
                <w:ilvl w:val="0"/>
                <w:numId w:val="2"/>
              </w:numPr>
              <w:contextualSpacing w:val="0"/>
              <w:rPr>
                <w:b/>
                <w:vanish/>
                <w:lang w:eastAsia="en-US"/>
              </w:rPr>
            </w:pPr>
          </w:p>
          <w:p w14:paraId="3C3B29D1" w14:textId="77777777" w:rsidR="00BE1F69" w:rsidRPr="002A22E1" w:rsidRDefault="00BE1F69" w:rsidP="00662185">
            <w:pPr>
              <w:pStyle w:val="TableParagraph"/>
              <w:numPr>
                <w:ilvl w:val="1"/>
                <w:numId w:val="2"/>
              </w:numPr>
              <w:spacing w:before="0"/>
              <w:rPr>
                <w:b/>
              </w:rPr>
            </w:pPr>
            <w:r w:rsidRPr="002A22E1">
              <w:rPr>
                <w:b/>
              </w:rPr>
              <w:t>Financial Sustainability</w:t>
            </w:r>
          </w:p>
          <w:p w14:paraId="569C0DC7" w14:textId="77777777" w:rsidR="00BE1F69" w:rsidRDefault="00BE1F69" w:rsidP="00662185">
            <w:pPr>
              <w:pStyle w:val="TableParagraph"/>
              <w:spacing w:before="0"/>
              <w:rPr>
                <w:bCs/>
              </w:rPr>
            </w:pPr>
          </w:p>
          <w:p w14:paraId="396A2FA3" w14:textId="5D566DFB" w:rsidR="00BE1F69" w:rsidRDefault="00BE1F69" w:rsidP="009A12FA">
            <w:pPr>
              <w:pStyle w:val="TableParagraph"/>
              <w:spacing w:before="0"/>
              <w:rPr>
                <w:bCs/>
              </w:rPr>
            </w:pPr>
            <w:r w:rsidRPr="009A12FA">
              <w:rPr>
                <w:bCs/>
              </w:rPr>
              <w:t xml:space="preserve">S Hewitt </w:t>
            </w:r>
            <w:r w:rsidR="004E747F">
              <w:rPr>
                <w:bCs/>
              </w:rPr>
              <w:t xml:space="preserve">presented some key information </w:t>
            </w:r>
            <w:r w:rsidR="00BD61CD">
              <w:rPr>
                <w:bCs/>
              </w:rPr>
              <w:t>summarising the impact of flat cash settlements over the past 5 financial year period.</w:t>
            </w:r>
          </w:p>
          <w:p w14:paraId="08F96AFD" w14:textId="77777777" w:rsidR="00BE1F69" w:rsidRDefault="00BE1F69" w:rsidP="009A12FA">
            <w:pPr>
              <w:pStyle w:val="TableParagraph"/>
              <w:spacing w:before="0"/>
              <w:rPr>
                <w:bCs/>
              </w:rPr>
            </w:pPr>
          </w:p>
          <w:p w14:paraId="22F1A2FD" w14:textId="28811494" w:rsidR="002F6FA1" w:rsidRDefault="00BE1F69" w:rsidP="009A12FA">
            <w:pPr>
              <w:pStyle w:val="TableParagraph"/>
              <w:spacing w:before="0"/>
              <w:rPr>
                <w:bCs/>
              </w:rPr>
            </w:pPr>
            <w:r>
              <w:rPr>
                <w:bCs/>
              </w:rPr>
              <w:t>He noted</w:t>
            </w:r>
            <w:r w:rsidRPr="009A12FA">
              <w:rPr>
                <w:bCs/>
              </w:rPr>
              <w:t xml:space="preserve"> that the College had communicated to the Funding Council that it had been proactive and responsive in considering options. Action had been taken in 202</w:t>
            </w:r>
            <w:r w:rsidR="007547AC">
              <w:rPr>
                <w:bCs/>
              </w:rPr>
              <w:t>2 and 2023</w:t>
            </w:r>
            <w:r w:rsidRPr="009A12FA">
              <w:rPr>
                <w:bCs/>
              </w:rPr>
              <w:t xml:space="preserve"> but </w:t>
            </w:r>
            <w:r w:rsidR="007547AC">
              <w:rPr>
                <w:bCs/>
              </w:rPr>
              <w:t xml:space="preserve">continuing flat cash had brought the </w:t>
            </w:r>
            <w:r w:rsidR="00B03B89">
              <w:rPr>
                <w:bCs/>
              </w:rPr>
              <w:t>C</w:t>
            </w:r>
            <w:r w:rsidR="007547AC">
              <w:rPr>
                <w:bCs/>
              </w:rPr>
              <w:t xml:space="preserve">ollege back to a similar position as savings had been eroded by </w:t>
            </w:r>
            <w:r w:rsidR="00FD45B4">
              <w:rPr>
                <w:bCs/>
              </w:rPr>
              <w:t xml:space="preserve">unavoidable costs increases in the intervening years. </w:t>
            </w:r>
            <w:r w:rsidRPr="009A12FA">
              <w:rPr>
                <w:bCs/>
              </w:rPr>
              <w:t xml:space="preserve"> He emphasised that while the past had shaped the present, the current funding model was no longer fit for purpose. Funding was failing to keep pace with costs and </w:t>
            </w:r>
            <w:r w:rsidR="00AB43FD">
              <w:rPr>
                <w:bCs/>
              </w:rPr>
              <w:t xml:space="preserve">causing </w:t>
            </w:r>
            <w:r w:rsidRPr="009A12FA">
              <w:rPr>
                <w:bCs/>
              </w:rPr>
              <w:t>significant challenges</w:t>
            </w:r>
            <w:r w:rsidR="00FC1B44">
              <w:rPr>
                <w:bCs/>
              </w:rPr>
              <w:t xml:space="preserve"> across the sector</w:t>
            </w:r>
            <w:r w:rsidRPr="009A12FA">
              <w:rPr>
                <w:bCs/>
              </w:rPr>
              <w:t xml:space="preserve">. </w:t>
            </w:r>
          </w:p>
          <w:p w14:paraId="3796C3A8" w14:textId="77777777" w:rsidR="002F6FA1" w:rsidRDefault="002F6FA1" w:rsidP="009A12FA">
            <w:pPr>
              <w:pStyle w:val="TableParagraph"/>
              <w:spacing w:before="0"/>
              <w:rPr>
                <w:bCs/>
              </w:rPr>
            </w:pPr>
          </w:p>
          <w:p w14:paraId="35915F03" w14:textId="68A5D648" w:rsidR="00BE1F69" w:rsidRDefault="002F6FA1" w:rsidP="009A12FA">
            <w:pPr>
              <w:pStyle w:val="TableParagraph"/>
              <w:spacing w:before="0"/>
              <w:rPr>
                <w:bCs/>
              </w:rPr>
            </w:pPr>
            <w:r>
              <w:rPr>
                <w:bCs/>
              </w:rPr>
              <w:t>S Hewitt stated that the</w:t>
            </w:r>
            <w:r w:rsidR="00BE1F69" w:rsidRPr="009A12FA">
              <w:rPr>
                <w:bCs/>
              </w:rPr>
              <w:t xml:space="preserve"> message had been delivered to both the Funding Council and the Scottish Government that reform needed to be accelerated, as three years had passed since reform was first announced, with no increase in apprenticeship funding having materialised, nor likely before the next election. The College was at a genuine crossroads and needed to take control of its own future.</w:t>
            </w:r>
          </w:p>
          <w:p w14:paraId="13F93B53" w14:textId="77777777" w:rsidR="00BE1F69" w:rsidRPr="009A12FA" w:rsidRDefault="00BE1F69" w:rsidP="009A12FA">
            <w:pPr>
              <w:pStyle w:val="TableParagraph"/>
              <w:spacing w:before="0"/>
              <w:rPr>
                <w:bCs/>
              </w:rPr>
            </w:pPr>
          </w:p>
          <w:p w14:paraId="63499590" w14:textId="566CA00D" w:rsidR="00BE1F69" w:rsidRDefault="00BE1F69" w:rsidP="009A12FA">
            <w:pPr>
              <w:pStyle w:val="TableParagraph"/>
              <w:spacing w:before="0"/>
              <w:rPr>
                <w:bCs/>
              </w:rPr>
            </w:pPr>
            <w:r>
              <w:rPr>
                <w:bCs/>
              </w:rPr>
              <w:t>S</w:t>
            </w:r>
            <w:r w:rsidRPr="009A12FA">
              <w:rPr>
                <w:bCs/>
              </w:rPr>
              <w:t xml:space="preserve"> Hewitt explained that the gap between the core grant and staff costs was widening, primarily because the core grant was not rising at the same rate as pay awards</w:t>
            </w:r>
            <w:r w:rsidR="008A0703">
              <w:rPr>
                <w:bCs/>
              </w:rPr>
              <w:t>, inflation and other costs increases</w:t>
            </w:r>
            <w:r w:rsidRPr="009A12FA">
              <w:rPr>
                <w:bCs/>
              </w:rPr>
              <w:t>. Shifts in funding were evident</w:t>
            </w:r>
            <w:r>
              <w:rPr>
                <w:bCs/>
              </w:rPr>
              <w:t>;</w:t>
            </w:r>
            <w:r w:rsidRPr="009A12FA">
              <w:rPr>
                <w:bCs/>
              </w:rPr>
              <w:t xml:space="preserve"> in 2022/23, the core grant was £80k less than the previous year; in 2023/24 the allocation was flat</w:t>
            </w:r>
            <w:r>
              <w:rPr>
                <w:bCs/>
              </w:rPr>
              <w:t xml:space="preserve"> cash</w:t>
            </w:r>
            <w:r w:rsidRPr="009A12FA">
              <w:rPr>
                <w:bCs/>
              </w:rPr>
              <w:t xml:space="preserve">; and in 2024/25 a further reduction would be applied. Although £800k of </w:t>
            </w:r>
            <w:r w:rsidR="00C169BC">
              <w:rPr>
                <w:bCs/>
              </w:rPr>
              <w:t>additional</w:t>
            </w:r>
            <w:r w:rsidRPr="009A12FA">
              <w:rPr>
                <w:bCs/>
              </w:rPr>
              <w:t xml:space="preserve"> funding had been provided by the Government, there had still been a reduction </w:t>
            </w:r>
            <w:r w:rsidR="00135550">
              <w:rPr>
                <w:bCs/>
              </w:rPr>
              <w:t>o</w:t>
            </w:r>
            <w:r w:rsidRPr="009A12FA">
              <w:rPr>
                <w:bCs/>
              </w:rPr>
              <w:t xml:space="preserve">ver </w:t>
            </w:r>
            <w:r w:rsidR="00135550">
              <w:rPr>
                <w:bCs/>
              </w:rPr>
              <w:t>the</w:t>
            </w:r>
            <w:r w:rsidRPr="009A12FA">
              <w:rPr>
                <w:bCs/>
              </w:rPr>
              <w:t xml:space="preserve"> five-year period</w:t>
            </w:r>
            <w:r w:rsidR="00135550">
              <w:rPr>
                <w:bCs/>
              </w:rPr>
              <w:t xml:space="preserve"> whilst over the same time. S Hewitt noted that </w:t>
            </w:r>
            <w:r w:rsidRPr="009A12FA">
              <w:rPr>
                <w:bCs/>
              </w:rPr>
              <w:t xml:space="preserve">staff pay </w:t>
            </w:r>
            <w:r w:rsidR="00135550">
              <w:rPr>
                <w:bCs/>
              </w:rPr>
              <w:t xml:space="preserve">costs </w:t>
            </w:r>
            <w:r w:rsidRPr="009A12FA">
              <w:rPr>
                <w:bCs/>
              </w:rPr>
              <w:t>had increased by £6.7m</w:t>
            </w:r>
            <w:r w:rsidR="00135550">
              <w:rPr>
                <w:bCs/>
              </w:rPr>
              <w:t xml:space="preserve"> over these </w:t>
            </w:r>
            <w:r w:rsidR="00D14A2B">
              <w:rPr>
                <w:bCs/>
              </w:rPr>
              <w:t>5 financial years whilst</w:t>
            </w:r>
            <w:r w:rsidRPr="009A12FA">
              <w:rPr>
                <w:bCs/>
              </w:rPr>
              <w:t xml:space="preserve"> core funds had reduced by £580k. </w:t>
            </w:r>
            <w:r w:rsidR="00D14A2B">
              <w:rPr>
                <w:bCs/>
              </w:rPr>
              <w:t xml:space="preserve">This divergence had resulted in the need for the savings of 2022 and 2023 and would require further savings to be achieved if the College were to remain financially sustainable. </w:t>
            </w:r>
          </w:p>
          <w:p w14:paraId="089DDB17" w14:textId="77777777" w:rsidR="00BE1F69" w:rsidRDefault="00BE1F69" w:rsidP="009A12FA">
            <w:pPr>
              <w:pStyle w:val="TableParagraph"/>
              <w:spacing w:before="0"/>
              <w:rPr>
                <w:bCs/>
              </w:rPr>
            </w:pPr>
          </w:p>
          <w:p w14:paraId="10EBBB63" w14:textId="77777777" w:rsidR="00F816A1" w:rsidRDefault="00BE1F69" w:rsidP="009A12FA">
            <w:pPr>
              <w:pStyle w:val="TableParagraph"/>
              <w:spacing w:before="0"/>
              <w:rPr>
                <w:bCs/>
              </w:rPr>
            </w:pPr>
            <w:r>
              <w:rPr>
                <w:bCs/>
              </w:rPr>
              <w:t>S</w:t>
            </w:r>
            <w:r w:rsidRPr="009A12FA">
              <w:rPr>
                <w:bCs/>
              </w:rPr>
              <w:t xml:space="preserve"> Hewitt stated that while the College had managed </w:t>
            </w:r>
            <w:r w:rsidR="00B95115">
              <w:rPr>
                <w:bCs/>
              </w:rPr>
              <w:t>the position</w:t>
            </w:r>
            <w:r w:rsidRPr="009A12FA">
              <w:rPr>
                <w:bCs/>
              </w:rPr>
              <w:t xml:space="preserve">, </w:t>
            </w:r>
            <w:r w:rsidR="00B95115">
              <w:rPr>
                <w:bCs/>
              </w:rPr>
              <w:t>reducing costs by 14%</w:t>
            </w:r>
            <w:r w:rsidR="00617198">
              <w:rPr>
                <w:bCs/>
              </w:rPr>
              <w:t>,</w:t>
            </w:r>
            <w:r w:rsidRPr="009A12FA">
              <w:rPr>
                <w:bCs/>
              </w:rPr>
              <w:t xml:space="preserve"> this position could not be maintained</w:t>
            </w:r>
            <w:r w:rsidR="00617198">
              <w:rPr>
                <w:bCs/>
              </w:rPr>
              <w:t xml:space="preserve"> and around a further 10% of costs </w:t>
            </w:r>
            <w:r w:rsidR="00F816A1">
              <w:rPr>
                <w:bCs/>
              </w:rPr>
              <w:t>would have to be saved unless there was a substantive boost in funding.</w:t>
            </w:r>
          </w:p>
          <w:p w14:paraId="2DCA4F01" w14:textId="77777777" w:rsidR="00256615" w:rsidRDefault="00256615" w:rsidP="009A12FA">
            <w:pPr>
              <w:pStyle w:val="TableParagraph"/>
              <w:spacing w:before="0"/>
              <w:rPr>
                <w:bCs/>
              </w:rPr>
            </w:pPr>
          </w:p>
          <w:p w14:paraId="24F6D540" w14:textId="4D5A599F" w:rsidR="00BE1F69" w:rsidRDefault="00BE1F69" w:rsidP="009A12FA">
            <w:pPr>
              <w:pStyle w:val="TableParagraph"/>
              <w:spacing w:before="0"/>
              <w:rPr>
                <w:bCs/>
              </w:rPr>
            </w:pPr>
            <w:r w:rsidRPr="009A12FA">
              <w:rPr>
                <w:bCs/>
              </w:rPr>
              <w:t xml:space="preserve">Without </w:t>
            </w:r>
            <w:r w:rsidR="00256615">
              <w:rPr>
                <w:bCs/>
              </w:rPr>
              <w:t>action</w:t>
            </w:r>
            <w:r w:rsidRPr="009A12FA">
              <w:rPr>
                <w:bCs/>
              </w:rPr>
              <w:t xml:space="preserve"> the College would face an unsustainable deficit and a critical decline in cash reserves. </w:t>
            </w:r>
            <w:r w:rsidR="00256615">
              <w:rPr>
                <w:bCs/>
              </w:rPr>
              <w:t xml:space="preserve"> </w:t>
            </w:r>
            <w:r w:rsidRPr="009A12FA">
              <w:rPr>
                <w:bCs/>
              </w:rPr>
              <w:t xml:space="preserve">Projections indicated that by </w:t>
            </w:r>
            <w:r w:rsidR="006B3FF1">
              <w:rPr>
                <w:bCs/>
              </w:rPr>
              <w:t xml:space="preserve">the end of the </w:t>
            </w:r>
            <w:r w:rsidRPr="009A12FA">
              <w:rPr>
                <w:bCs/>
              </w:rPr>
              <w:t>2025/26</w:t>
            </w:r>
            <w:r w:rsidR="006B3FF1">
              <w:rPr>
                <w:bCs/>
              </w:rPr>
              <w:t xml:space="preserve"> financial year</w:t>
            </w:r>
            <w:r w:rsidRPr="009A12FA">
              <w:rPr>
                <w:bCs/>
              </w:rPr>
              <w:t>, if no action were taken, cash reserves would stand at only £1.5m, placing the College in a vulnerable position</w:t>
            </w:r>
            <w:r w:rsidR="00256615">
              <w:rPr>
                <w:bCs/>
              </w:rPr>
              <w:t>.</w:t>
            </w:r>
          </w:p>
          <w:p w14:paraId="650D4EAF" w14:textId="77777777" w:rsidR="00BE1F69" w:rsidRPr="009A12FA" w:rsidRDefault="00BE1F69" w:rsidP="009A12FA">
            <w:pPr>
              <w:pStyle w:val="TableParagraph"/>
              <w:spacing w:before="0"/>
              <w:rPr>
                <w:bCs/>
              </w:rPr>
            </w:pPr>
          </w:p>
          <w:p w14:paraId="2C5FC5F4" w14:textId="487B5429" w:rsidR="00BE1F69" w:rsidRDefault="00BE1F69" w:rsidP="009A12FA">
            <w:pPr>
              <w:pStyle w:val="TableParagraph"/>
              <w:spacing w:before="0"/>
              <w:rPr>
                <w:bCs/>
              </w:rPr>
            </w:pPr>
            <w:r w:rsidRPr="009A12FA">
              <w:rPr>
                <w:bCs/>
              </w:rPr>
              <w:t xml:space="preserve">Tuition fee income was also under pressure. In 2021/22, £3.2m was generated from HNC and HND learners, but this had steadily declined </w:t>
            </w:r>
            <w:r w:rsidR="00256615">
              <w:rPr>
                <w:bCs/>
              </w:rPr>
              <w:t>to £2.5</w:t>
            </w:r>
            <w:r w:rsidR="00705DF3">
              <w:rPr>
                <w:bCs/>
              </w:rPr>
              <w:t xml:space="preserve">m </w:t>
            </w:r>
            <w:r w:rsidRPr="009A12FA">
              <w:rPr>
                <w:bCs/>
              </w:rPr>
              <w:t>and was projected to reduce further due to competition from universities, creating an additional challenge. The matter had been raised with th</w:t>
            </w:r>
            <w:r>
              <w:rPr>
                <w:bCs/>
              </w:rPr>
              <w:t>e Scottish Funding Council</w:t>
            </w:r>
            <w:r w:rsidRPr="009A12FA">
              <w:rPr>
                <w:bCs/>
              </w:rPr>
              <w:t>.</w:t>
            </w:r>
          </w:p>
          <w:p w14:paraId="08E0444A" w14:textId="77777777" w:rsidR="00BE1F69" w:rsidRPr="009A12FA" w:rsidRDefault="00BE1F69" w:rsidP="009A12FA">
            <w:pPr>
              <w:pStyle w:val="TableParagraph"/>
              <w:spacing w:before="0"/>
              <w:rPr>
                <w:bCs/>
              </w:rPr>
            </w:pPr>
          </w:p>
          <w:p w14:paraId="7139E2FA" w14:textId="7BCE1594" w:rsidR="00BE1F69" w:rsidRDefault="00BE1F69" w:rsidP="009A12FA">
            <w:pPr>
              <w:pStyle w:val="TableParagraph"/>
              <w:spacing w:before="0"/>
              <w:rPr>
                <w:bCs/>
              </w:rPr>
            </w:pPr>
            <w:r>
              <w:rPr>
                <w:bCs/>
              </w:rPr>
              <w:t>S</w:t>
            </w:r>
            <w:r w:rsidRPr="009A12FA">
              <w:rPr>
                <w:bCs/>
              </w:rPr>
              <w:t xml:space="preserve"> Hewitt highlighted the wider sectoral difficulties, including declining cash positions across </w:t>
            </w:r>
            <w:r w:rsidR="00705DF3">
              <w:rPr>
                <w:bCs/>
              </w:rPr>
              <w:t>all colleges</w:t>
            </w:r>
            <w:r w:rsidRPr="009A12FA">
              <w:rPr>
                <w:bCs/>
              </w:rPr>
              <w:t>, campus closures</w:t>
            </w:r>
            <w:r w:rsidR="00705DF3">
              <w:rPr>
                <w:bCs/>
              </w:rPr>
              <w:t xml:space="preserve"> (</w:t>
            </w:r>
            <w:r w:rsidRPr="009A12FA">
              <w:rPr>
                <w:bCs/>
              </w:rPr>
              <w:t>projections showing that up to nine campuses could close nationally over the next three years</w:t>
            </w:r>
            <w:r w:rsidR="00705DF3">
              <w:rPr>
                <w:bCs/>
              </w:rPr>
              <w:t>)</w:t>
            </w:r>
            <w:r w:rsidRPr="009A12FA">
              <w:rPr>
                <w:bCs/>
              </w:rPr>
              <w:t xml:space="preserve">. </w:t>
            </w:r>
            <w:r w:rsidR="00705DF3">
              <w:rPr>
                <w:bCs/>
              </w:rPr>
              <w:t>It was estimated that t</w:t>
            </w:r>
            <w:r w:rsidRPr="009A12FA">
              <w:rPr>
                <w:bCs/>
              </w:rPr>
              <w:t>he combined sector deficit over this period was projected at</w:t>
            </w:r>
            <w:r w:rsidR="00177F28">
              <w:rPr>
                <w:bCs/>
              </w:rPr>
              <w:t xml:space="preserve"> a minimum of</w:t>
            </w:r>
            <w:r w:rsidRPr="009A12FA">
              <w:rPr>
                <w:bCs/>
              </w:rPr>
              <w:t xml:space="preserve"> £103m.</w:t>
            </w:r>
          </w:p>
          <w:p w14:paraId="3F2456B1" w14:textId="77777777" w:rsidR="00BE1F69" w:rsidRPr="009A12FA" w:rsidRDefault="00BE1F69" w:rsidP="009A12FA">
            <w:pPr>
              <w:pStyle w:val="TableParagraph"/>
              <w:spacing w:before="0"/>
              <w:rPr>
                <w:bCs/>
              </w:rPr>
            </w:pPr>
          </w:p>
          <w:p w14:paraId="7A1191BB" w14:textId="77777777" w:rsidR="006C6760" w:rsidRDefault="00BE1F69" w:rsidP="009A12FA">
            <w:pPr>
              <w:pStyle w:val="TableParagraph"/>
              <w:spacing w:before="0"/>
              <w:rPr>
                <w:bCs/>
              </w:rPr>
            </w:pPr>
            <w:r w:rsidRPr="009A12FA">
              <w:rPr>
                <w:bCs/>
              </w:rPr>
              <w:t xml:space="preserve">In discussions with the Scottish Funding Council (SFC), concerns were raised regarding the direction of travel and the lack of clarity around reform. Although the SFC had suggested three stages—stabilisation, reform, and innovation—there remained no immediate solutions in relation to </w:t>
            </w:r>
            <w:r w:rsidR="00940766">
              <w:rPr>
                <w:bCs/>
              </w:rPr>
              <w:t xml:space="preserve">full funding for additional costs such as </w:t>
            </w:r>
            <w:r>
              <w:rPr>
                <w:bCs/>
              </w:rPr>
              <w:t>N</w:t>
            </w:r>
            <w:r w:rsidRPr="009A12FA">
              <w:rPr>
                <w:bCs/>
              </w:rPr>
              <w:t xml:space="preserve">ational </w:t>
            </w:r>
            <w:r>
              <w:rPr>
                <w:bCs/>
              </w:rPr>
              <w:t>I</w:t>
            </w:r>
            <w:r w:rsidRPr="009A12FA">
              <w:rPr>
                <w:bCs/>
              </w:rPr>
              <w:t xml:space="preserve">nsurance, or </w:t>
            </w:r>
            <w:r>
              <w:rPr>
                <w:bCs/>
              </w:rPr>
              <w:t>P</w:t>
            </w:r>
            <w:r w:rsidRPr="009A12FA">
              <w:rPr>
                <w:bCs/>
              </w:rPr>
              <w:t xml:space="preserve">ension </w:t>
            </w:r>
            <w:r>
              <w:rPr>
                <w:bCs/>
              </w:rPr>
              <w:t>C</w:t>
            </w:r>
            <w:r w:rsidRPr="009A12FA">
              <w:rPr>
                <w:bCs/>
              </w:rPr>
              <w:t>ontribution</w:t>
            </w:r>
            <w:r w:rsidR="006C6760">
              <w:rPr>
                <w:bCs/>
              </w:rPr>
              <w:t xml:space="preserve"> increases</w:t>
            </w:r>
            <w:r w:rsidRPr="009A12FA">
              <w:rPr>
                <w:bCs/>
              </w:rPr>
              <w:t xml:space="preserve">. </w:t>
            </w:r>
          </w:p>
          <w:p w14:paraId="0CB56E7C" w14:textId="77777777" w:rsidR="006C6760" w:rsidRDefault="006C6760" w:rsidP="009A12FA">
            <w:pPr>
              <w:pStyle w:val="TableParagraph"/>
              <w:spacing w:before="0"/>
              <w:rPr>
                <w:bCs/>
              </w:rPr>
            </w:pPr>
          </w:p>
          <w:p w14:paraId="54C579A5" w14:textId="0F10A5CD" w:rsidR="00BE1F69" w:rsidRDefault="00BE1F69" w:rsidP="009A12FA">
            <w:pPr>
              <w:pStyle w:val="TableParagraph"/>
              <w:spacing w:before="0"/>
              <w:rPr>
                <w:bCs/>
              </w:rPr>
            </w:pPr>
            <w:r>
              <w:rPr>
                <w:bCs/>
              </w:rPr>
              <w:t xml:space="preserve">S </w:t>
            </w:r>
            <w:r w:rsidRPr="009A12FA">
              <w:rPr>
                <w:bCs/>
              </w:rPr>
              <w:t>Hewitt emphasised the need for the College to focus on those matters within its control.</w:t>
            </w:r>
          </w:p>
          <w:p w14:paraId="613B4189" w14:textId="77777777" w:rsidR="00BE1F69" w:rsidRPr="009A12FA" w:rsidRDefault="00BE1F69" w:rsidP="009A12FA">
            <w:pPr>
              <w:pStyle w:val="TableParagraph"/>
              <w:spacing w:before="0"/>
              <w:rPr>
                <w:bCs/>
              </w:rPr>
            </w:pPr>
          </w:p>
          <w:p w14:paraId="36D88D47" w14:textId="5E8E5D88" w:rsidR="00BE1F69" w:rsidRDefault="00BE1F69" w:rsidP="009A12FA">
            <w:pPr>
              <w:pStyle w:val="TableParagraph"/>
              <w:spacing w:before="0"/>
              <w:rPr>
                <w:bCs/>
              </w:rPr>
            </w:pPr>
            <w:r w:rsidRPr="009A12FA">
              <w:rPr>
                <w:bCs/>
              </w:rPr>
              <w:lastRenderedPageBreak/>
              <w:t xml:space="preserve">N Anderson provided further detail on </w:t>
            </w:r>
            <w:r>
              <w:rPr>
                <w:bCs/>
              </w:rPr>
              <w:t xml:space="preserve">the </w:t>
            </w:r>
            <w:r w:rsidR="006C6760">
              <w:rPr>
                <w:bCs/>
              </w:rPr>
              <w:t xml:space="preserve">national </w:t>
            </w:r>
            <w:r w:rsidRPr="009A12FA">
              <w:rPr>
                <w:bCs/>
              </w:rPr>
              <w:t>cashflow</w:t>
            </w:r>
            <w:r w:rsidR="006C6760">
              <w:rPr>
                <w:bCs/>
              </w:rPr>
              <w:t xml:space="preserve"> situation</w:t>
            </w:r>
            <w:r w:rsidR="000E36B1">
              <w:rPr>
                <w:bCs/>
              </w:rPr>
              <w:t>, noting that the starting point was plus c£52m declining to -£</w:t>
            </w:r>
            <w:r w:rsidR="00A00FD5">
              <w:rPr>
                <w:bCs/>
              </w:rPr>
              <w:t>103m</w:t>
            </w:r>
            <w:r w:rsidRPr="009A12FA">
              <w:rPr>
                <w:bCs/>
              </w:rPr>
              <w:t xml:space="preserve"> over the next three years, representing an even more serious challenge.</w:t>
            </w:r>
          </w:p>
          <w:p w14:paraId="63B43D12" w14:textId="77777777" w:rsidR="00BE1F69" w:rsidRPr="009A12FA" w:rsidRDefault="00BE1F69" w:rsidP="009A12FA">
            <w:pPr>
              <w:pStyle w:val="TableParagraph"/>
              <w:spacing w:before="0"/>
              <w:rPr>
                <w:bCs/>
              </w:rPr>
            </w:pPr>
          </w:p>
          <w:p w14:paraId="2CB0AA92" w14:textId="61CF6C1E" w:rsidR="00BE1F69" w:rsidRDefault="00BE1F69" w:rsidP="009A12FA">
            <w:pPr>
              <w:pStyle w:val="TableParagraph"/>
              <w:spacing w:before="0"/>
              <w:rPr>
                <w:bCs/>
              </w:rPr>
            </w:pPr>
            <w:r w:rsidRPr="009A12FA">
              <w:rPr>
                <w:bCs/>
              </w:rPr>
              <w:t xml:space="preserve">The Senior Leadership Team </w:t>
            </w:r>
            <w:r>
              <w:rPr>
                <w:bCs/>
              </w:rPr>
              <w:t>are</w:t>
            </w:r>
            <w:r w:rsidRPr="009A12FA">
              <w:rPr>
                <w:bCs/>
              </w:rPr>
              <w:t xml:space="preserve"> working </w:t>
            </w:r>
            <w:r>
              <w:rPr>
                <w:bCs/>
              </w:rPr>
              <w:t>towards</w:t>
            </w:r>
            <w:r w:rsidRPr="009A12FA">
              <w:rPr>
                <w:bCs/>
              </w:rPr>
              <w:t xml:space="preserve"> a</w:t>
            </w:r>
            <w:r w:rsidR="00A00FD5">
              <w:rPr>
                <w:bCs/>
              </w:rPr>
              <w:t xml:space="preserve"> detailed financial efficiency and savings plan</w:t>
            </w:r>
            <w:r w:rsidR="00B41703">
              <w:rPr>
                <w:bCs/>
              </w:rPr>
              <w:t xml:space="preserve"> with a tight timeline</w:t>
            </w:r>
            <w:r w:rsidRPr="009A12FA">
              <w:rPr>
                <w:bCs/>
              </w:rPr>
              <w:t xml:space="preserve">. </w:t>
            </w:r>
            <w:r w:rsidR="00B41703">
              <w:rPr>
                <w:bCs/>
              </w:rPr>
              <w:t>I</w:t>
            </w:r>
            <w:r w:rsidRPr="009A12FA">
              <w:rPr>
                <w:bCs/>
              </w:rPr>
              <w:t xml:space="preserve">nitial communication would be issued to staff outlining the </w:t>
            </w:r>
            <w:r w:rsidR="00B41703">
              <w:rPr>
                <w:bCs/>
              </w:rPr>
              <w:t xml:space="preserve">position and the </w:t>
            </w:r>
            <w:r w:rsidRPr="009A12FA">
              <w:rPr>
                <w:bCs/>
              </w:rPr>
              <w:t>savings plan, with further developments expected by the end of the month.</w:t>
            </w:r>
          </w:p>
          <w:p w14:paraId="7FF9BAAB" w14:textId="77777777" w:rsidR="00BE1F69" w:rsidRPr="009A12FA" w:rsidRDefault="00BE1F69" w:rsidP="009A12FA">
            <w:pPr>
              <w:pStyle w:val="TableParagraph"/>
              <w:spacing w:before="0"/>
              <w:rPr>
                <w:bCs/>
              </w:rPr>
            </w:pPr>
          </w:p>
          <w:p w14:paraId="108C6B59" w14:textId="560287F4" w:rsidR="00BE1F69" w:rsidRDefault="00BE1F69" w:rsidP="009A12FA">
            <w:pPr>
              <w:pStyle w:val="TableParagraph"/>
              <w:spacing w:before="0"/>
              <w:rPr>
                <w:bCs/>
              </w:rPr>
            </w:pPr>
            <w:r w:rsidRPr="009A12FA">
              <w:rPr>
                <w:bCs/>
              </w:rPr>
              <w:t>In response to a query from S</w:t>
            </w:r>
            <w:r>
              <w:rPr>
                <w:bCs/>
              </w:rPr>
              <w:t xml:space="preserve"> </w:t>
            </w:r>
            <w:r w:rsidRPr="009A12FA">
              <w:rPr>
                <w:bCs/>
              </w:rPr>
              <w:t>Oakley regarding</w:t>
            </w:r>
            <w:r w:rsidR="00072880">
              <w:rPr>
                <w:bCs/>
              </w:rPr>
              <w:t xml:space="preserve"> changes to the</w:t>
            </w:r>
            <w:r w:rsidRPr="009A12FA">
              <w:rPr>
                <w:bCs/>
              </w:rPr>
              <w:t xml:space="preserve"> funding model, </w:t>
            </w:r>
            <w:r>
              <w:rPr>
                <w:bCs/>
              </w:rPr>
              <w:t xml:space="preserve">S </w:t>
            </w:r>
            <w:r w:rsidRPr="009A12FA">
              <w:rPr>
                <w:bCs/>
              </w:rPr>
              <w:t xml:space="preserve">Hewitt advised that while the SFC was supportive of this approach, Scottish Ministers were not. </w:t>
            </w:r>
          </w:p>
          <w:p w14:paraId="52D37112" w14:textId="77777777" w:rsidR="00BE1F69" w:rsidRPr="009A12FA" w:rsidRDefault="00BE1F69" w:rsidP="009A12FA">
            <w:pPr>
              <w:pStyle w:val="TableParagraph"/>
              <w:spacing w:before="0"/>
              <w:rPr>
                <w:bCs/>
              </w:rPr>
            </w:pPr>
          </w:p>
          <w:p w14:paraId="75FEF3AB" w14:textId="77777777" w:rsidR="00BE1F69" w:rsidRDefault="00BE1F69" w:rsidP="009A12FA">
            <w:pPr>
              <w:pStyle w:val="TableParagraph"/>
              <w:spacing w:before="0"/>
              <w:rPr>
                <w:bCs/>
              </w:rPr>
            </w:pPr>
            <w:r w:rsidRPr="009A12FA">
              <w:rPr>
                <w:bCs/>
              </w:rPr>
              <w:t>Further discussion took place on the implications of potential credit reductions, the risk of further sector-wide savings requirements, and the concern that SFC might redirect resources towards universities.</w:t>
            </w:r>
          </w:p>
          <w:p w14:paraId="32A8F101" w14:textId="77777777" w:rsidR="00BE1F69" w:rsidRPr="009A12FA" w:rsidRDefault="00BE1F69" w:rsidP="009A12FA">
            <w:pPr>
              <w:pStyle w:val="TableParagraph"/>
              <w:spacing w:before="0"/>
              <w:rPr>
                <w:bCs/>
              </w:rPr>
            </w:pPr>
          </w:p>
          <w:p w14:paraId="1FA17846" w14:textId="77777777" w:rsidR="00916554" w:rsidRDefault="00BE1F69" w:rsidP="009A12FA">
            <w:pPr>
              <w:pStyle w:val="TableParagraph"/>
              <w:spacing w:before="0"/>
              <w:rPr>
                <w:bCs/>
              </w:rPr>
            </w:pPr>
            <w:r w:rsidRPr="009A12FA">
              <w:rPr>
                <w:bCs/>
              </w:rPr>
              <w:t xml:space="preserve">R Young sought clarification on the timeline for the Senior Leadership Team’s savings plan, referencing the report’s note of an end of September deadline with consultation in October. </w:t>
            </w:r>
          </w:p>
          <w:p w14:paraId="7BCFA7C3" w14:textId="77777777" w:rsidR="00916554" w:rsidRDefault="00916554" w:rsidP="009A12FA">
            <w:pPr>
              <w:pStyle w:val="TableParagraph"/>
              <w:spacing w:before="0"/>
              <w:rPr>
                <w:bCs/>
              </w:rPr>
            </w:pPr>
          </w:p>
          <w:p w14:paraId="50D6EC1E" w14:textId="108FE84E" w:rsidR="00BE1F69" w:rsidRDefault="00BE1F69" w:rsidP="009A12FA">
            <w:pPr>
              <w:pStyle w:val="TableParagraph"/>
              <w:spacing w:before="0"/>
              <w:rPr>
                <w:bCs/>
              </w:rPr>
            </w:pPr>
            <w:r>
              <w:rPr>
                <w:bCs/>
              </w:rPr>
              <w:t>S</w:t>
            </w:r>
            <w:r w:rsidRPr="009A12FA">
              <w:rPr>
                <w:bCs/>
              </w:rPr>
              <w:t xml:space="preserve"> Hewitt confirmed that the plan would likely be delivered in two parts: immediate measures this year, and further planning for the next academic year. He emphasised the need for flexibility, regular engagement between the Senior Leadership Team and the Board, and the ability to recall meetings if required. </w:t>
            </w:r>
            <w:r>
              <w:rPr>
                <w:bCs/>
              </w:rPr>
              <w:t xml:space="preserve">N </w:t>
            </w:r>
            <w:r w:rsidRPr="009A12FA">
              <w:rPr>
                <w:bCs/>
              </w:rPr>
              <w:t>Anderson confirmed that, in a do-nothing scenario, the College would exhaust its cash reserves by Spring 2027.</w:t>
            </w:r>
          </w:p>
          <w:p w14:paraId="286EE2F5" w14:textId="77777777" w:rsidR="00BE1F69" w:rsidRPr="009A12FA" w:rsidRDefault="00BE1F69" w:rsidP="009A12FA">
            <w:pPr>
              <w:pStyle w:val="TableParagraph"/>
              <w:spacing w:before="0"/>
              <w:rPr>
                <w:bCs/>
              </w:rPr>
            </w:pPr>
          </w:p>
          <w:p w14:paraId="602D249F" w14:textId="02F8F1AB" w:rsidR="00BE1F69" w:rsidRDefault="00BE1F69" w:rsidP="009A12FA">
            <w:pPr>
              <w:pStyle w:val="TableParagraph"/>
              <w:spacing w:before="0"/>
              <w:rPr>
                <w:bCs/>
              </w:rPr>
            </w:pPr>
            <w:r w:rsidRPr="009A12FA">
              <w:rPr>
                <w:bCs/>
              </w:rPr>
              <w:t xml:space="preserve">D Mackenzie noted that all stakeholders had a role to play in shaping outcomes and queried what influence the Board and College might exert. </w:t>
            </w:r>
            <w:r>
              <w:rPr>
                <w:bCs/>
              </w:rPr>
              <w:t>S</w:t>
            </w:r>
            <w:r w:rsidRPr="009A12FA">
              <w:rPr>
                <w:bCs/>
              </w:rPr>
              <w:t xml:space="preserve"> Hewitt confirmed that further discussions were scheduled, including a forthcoming meeting, and stressed the importance of new approaches to collaborative working between trade unions and management.</w:t>
            </w:r>
            <w:r w:rsidR="006E04E8">
              <w:rPr>
                <w:bCs/>
              </w:rPr>
              <w:t xml:space="preserve"> S Taylor noted that key ‘lines to take’ could be shared with Board members to assist with any conversations they were having with key stakeholders.</w:t>
            </w:r>
          </w:p>
          <w:p w14:paraId="0FB4A673" w14:textId="77777777" w:rsidR="00BE1F69" w:rsidRPr="009A12FA" w:rsidRDefault="00BE1F69" w:rsidP="009A12FA">
            <w:pPr>
              <w:pStyle w:val="TableParagraph"/>
              <w:spacing w:before="0"/>
              <w:rPr>
                <w:bCs/>
              </w:rPr>
            </w:pPr>
          </w:p>
          <w:p w14:paraId="3EE2CCEA" w14:textId="23D5C7A6" w:rsidR="00BE1F69" w:rsidRDefault="00BE1F69" w:rsidP="009A12FA">
            <w:pPr>
              <w:pStyle w:val="TableParagraph"/>
              <w:spacing w:before="0"/>
              <w:rPr>
                <w:bCs/>
              </w:rPr>
            </w:pPr>
            <w:r w:rsidRPr="009A12FA">
              <w:rPr>
                <w:bCs/>
              </w:rPr>
              <w:t xml:space="preserve">Board members expressed concern about the wider sector position and asked about communications with other colleges. </w:t>
            </w:r>
            <w:r>
              <w:rPr>
                <w:bCs/>
              </w:rPr>
              <w:t>S</w:t>
            </w:r>
            <w:r w:rsidRPr="009A12FA">
              <w:rPr>
                <w:bCs/>
              </w:rPr>
              <w:t xml:space="preserve"> Hewitt advised that while some discussions were taking place, different colleges were at different stages, making a sector-wide position difficult.</w:t>
            </w:r>
          </w:p>
          <w:p w14:paraId="72FD21FB" w14:textId="77777777" w:rsidR="00BE1F69" w:rsidRPr="009A12FA" w:rsidRDefault="00BE1F69" w:rsidP="009A12FA">
            <w:pPr>
              <w:pStyle w:val="TableParagraph"/>
              <w:spacing w:before="0"/>
              <w:rPr>
                <w:bCs/>
              </w:rPr>
            </w:pPr>
          </w:p>
          <w:p w14:paraId="2B082AE9" w14:textId="7AA25414" w:rsidR="00BE1F69" w:rsidRDefault="00BE1F69" w:rsidP="009A12FA">
            <w:pPr>
              <w:pStyle w:val="TableParagraph"/>
              <w:spacing w:before="0"/>
              <w:rPr>
                <w:bCs/>
              </w:rPr>
            </w:pPr>
            <w:r w:rsidRPr="009A12FA">
              <w:rPr>
                <w:bCs/>
              </w:rPr>
              <w:t>S Oakley emphasised the importance of partnership working between the trade unions and the Senior Leadership Team, noting that while difficult protocols had to be followed, there was a shared values-based commitment to protecting staff.</w:t>
            </w:r>
            <w:r w:rsidR="004D3B01">
              <w:rPr>
                <w:bCs/>
              </w:rPr>
              <w:t xml:space="preserve"> This input was welcomed.</w:t>
            </w:r>
          </w:p>
          <w:p w14:paraId="34EC0389" w14:textId="77777777" w:rsidR="00BE1F69" w:rsidRDefault="00BE1F69" w:rsidP="009A12FA">
            <w:pPr>
              <w:pStyle w:val="TableParagraph"/>
              <w:spacing w:before="0"/>
              <w:rPr>
                <w:bCs/>
              </w:rPr>
            </w:pPr>
          </w:p>
          <w:p w14:paraId="1DDC0F17" w14:textId="7277D29E" w:rsidR="00BE1F69" w:rsidRDefault="00BE1F69" w:rsidP="009A12FA">
            <w:pPr>
              <w:pStyle w:val="TableParagraph"/>
              <w:spacing w:before="0"/>
              <w:rPr>
                <w:bCs/>
              </w:rPr>
            </w:pPr>
            <w:r w:rsidRPr="009A12FA">
              <w:rPr>
                <w:bCs/>
              </w:rPr>
              <w:t>B Lawrie noted the positive relationship between the College and trade unions and the mutual understanding of the challenges faced.</w:t>
            </w:r>
          </w:p>
          <w:p w14:paraId="492AB6D0" w14:textId="77777777" w:rsidR="00BE1F69" w:rsidRPr="009A12FA" w:rsidRDefault="00BE1F69" w:rsidP="009A12FA">
            <w:pPr>
              <w:pStyle w:val="TableParagraph"/>
              <w:spacing w:before="0"/>
              <w:rPr>
                <w:bCs/>
              </w:rPr>
            </w:pPr>
          </w:p>
          <w:p w14:paraId="1E3BB648" w14:textId="016FBA98" w:rsidR="00BE1F69" w:rsidRPr="009A12FA" w:rsidRDefault="00BE1F69" w:rsidP="009A12FA">
            <w:pPr>
              <w:pStyle w:val="TableParagraph"/>
              <w:spacing w:before="0"/>
              <w:rPr>
                <w:bCs/>
              </w:rPr>
            </w:pPr>
            <w:r w:rsidRPr="009A12FA">
              <w:rPr>
                <w:bCs/>
              </w:rPr>
              <w:t>In concluding,</w:t>
            </w:r>
            <w:r>
              <w:rPr>
                <w:bCs/>
              </w:rPr>
              <w:t xml:space="preserve"> S</w:t>
            </w:r>
            <w:r w:rsidRPr="009A12FA">
              <w:rPr>
                <w:bCs/>
              </w:rPr>
              <w:t xml:space="preserve"> Hewitt reassured members that while the situation was challenging, the College had faced and overcome serious financial pressures in the past. He stressed the importance of collective working, a clear strategy, and regular engagement to navigate the current </w:t>
            </w:r>
            <w:r w:rsidR="005E774D">
              <w:rPr>
                <w:bCs/>
              </w:rPr>
              <w:t>challenges</w:t>
            </w:r>
            <w:r w:rsidRPr="009A12FA">
              <w:rPr>
                <w:bCs/>
              </w:rPr>
              <w:t xml:space="preserve"> successfully.</w:t>
            </w:r>
          </w:p>
          <w:p w14:paraId="0CEF4076" w14:textId="77777777" w:rsidR="00BE1F69" w:rsidRDefault="00BE1F69" w:rsidP="00662185">
            <w:pPr>
              <w:pStyle w:val="TableParagraph"/>
              <w:spacing w:before="0"/>
              <w:rPr>
                <w:bCs/>
              </w:rPr>
            </w:pPr>
          </w:p>
          <w:p w14:paraId="40069A45" w14:textId="77777777" w:rsidR="00930EBF" w:rsidRDefault="00930EBF" w:rsidP="00662185">
            <w:pPr>
              <w:pStyle w:val="TableParagraph"/>
              <w:spacing w:before="0"/>
              <w:rPr>
                <w:bCs/>
              </w:rPr>
            </w:pPr>
          </w:p>
          <w:p w14:paraId="44C00F6B" w14:textId="77777777" w:rsidR="00BE1F69" w:rsidRPr="00210FC9" w:rsidRDefault="00BE1F69" w:rsidP="005E774D">
            <w:pPr>
              <w:pStyle w:val="TableParagraph"/>
              <w:numPr>
                <w:ilvl w:val="1"/>
                <w:numId w:val="2"/>
              </w:numPr>
              <w:spacing w:before="0"/>
              <w:ind w:left="431" w:hanging="431"/>
              <w:rPr>
                <w:b/>
              </w:rPr>
            </w:pPr>
            <w:r w:rsidRPr="00210FC9">
              <w:rPr>
                <w:b/>
              </w:rPr>
              <w:t>Forecast Outturn 2024/2025</w:t>
            </w:r>
          </w:p>
          <w:p w14:paraId="595723C6" w14:textId="77777777" w:rsidR="00BE1F69" w:rsidRDefault="00BE1F69" w:rsidP="00F903E9">
            <w:pPr>
              <w:pStyle w:val="TableParagraph"/>
              <w:spacing w:before="0"/>
              <w:rPr>
                <w:bCs/>
              </w:rPr>
            </w:pPr>
          </w:p>
          <w:p w14:paraId="7F2977C1" w14:textId="19A5EC79" w:rsidR="00171F45" w:rsidRDefault="00BE1F69" w:rsidP="00F903E9">
            <w:pPr>
              <w:pStyle w:val="TableParagraph"/>
              <w:spacing w:before="0"/>
              <w:rPr>
                <w:bCs/>
              </w:rPr>
            </w:pPr>
            <w:r w:rsidRPr="00F903E9">
              <w:rPr>
                <w:bCs/>
              </w:rPr>
              <w:t>N Anderson presented the report and advised that the projected outturn prior to loan repayment showed a surplus of £219k; however, after loan repayments, this translated to a</w:t>
            </w:r>
            <w:r w:rsidR="00171F45">
              <w:rPr>
                <w:bCs/>
              </w:rPr>
              <w:t xml:space="preserve">n initial forecast </w:t>
            </w:r>
            <w:r w:rsidRPr="00F903E9">
              <w:rPr>
                <w:bCs/>
              </w:rPr>
              <w:t xml:space="preserve">deficit of £238k. </w:t>
            </w:r>
            <w:r>
              <w:rPr>
                <w:bCs/>
              </w:rPr>
              <w:t>Sh</w:t>
            </w:r>
            <w:r w:rsidRPr="00F903E9">
              <w:rPr>
                <w:bCs/>
              </w:rPr>
              <w:t xml:space="preserve">e further reported that the SFC would not be funding the academic pension increase for the period 1 April to 31 July 2025, which had </w:t>
            </w:r>
            <w:r w:rsidR="00930EBF">
              <w:rPr>
                <w:bCs/>
              </w:rPr>
              <w:t xml:space="preserve">impacted the deficit position by </w:t>
            </w:r>
            <w:r w:rsidRPr="00F903E9">
              <w:rPr>
                <w:bCs/>
              </w:rPr>
              <w:t>£150</w:t>
            </w:r>
            <w:r w:rsidR="00930EBF">
              <w:rPr>
                <w:bCs/>
              </w:rPr>
              <w:t>k.</w:t>
            </w:r>
          </w:p>
          <w:p w14:paraId="03D80491" w14:textId="77777777" w:rsidR="00930EBF" w:rsidRDefault="00930EBF" w:rsidP="00F903E9">
            <w:pPr>
              <w:pStyle w:val="TableParagraph"/>
              <w:spacing w:before="0"/>
              <w:rPr>
                <w:bCs/>
              </w:rPr>
            </w:pPr>
          </w:p>
          <w:p w14:paraId="0F0D3D1E" w14:textId="77777777" w:rsidR="00930EBF" w:rsidRDefault="00930EBF" w:rsidP="00F903E9">
            <w:pPr>
              <w:pStyle w:val="TableParagraph"/>
              <w:spacing w:before="0"/>
              <w:rPr>
                <w:bCs/>
              </w:rPr>
            </w:pPr>
          </w:p>
          <w:p w14:paraId="1A8468E9" w14:textId="77777777" w:rsidR="00930EBF" w:rsidRDefault="00930EBF" w:rsidP="00F903E9">
            <w:pPr>
              <w:pStyle w:val="TableParagraph"/>
              <w:spacing w:before="0"/>
              <w:rPr>
                <w:bCs/>
              </w:rPr>
            </w:pPr>
          </w:p>
          <w:p w14:paraId="1DD40F4D" w14:textId="77777777" w:rsidR="00775B9B" w:rsidRDefault="00BE1F69" w:rsidP="00F903E9">
            <w:pPr>
              <w:pStyle w:val="TableParagraph"/>
              <w:spacing w:before="0"/>
              <w:rPr>
                <w:bCs/>
              </w:rPr>
            </w:pPr>
            <w:r>
              <w:rPr>
                <w:bCs/>
              </w:rPr>
              <w:lastRenderedPageBreak/>
              <w:t>N</w:t>
            </w:r>
            <w:r w:rsidRPr="00F903E9">
              <w:rPr>
                <w:bCs/>
              </w:rPr>
              <w:t xml:space="preserve"> Anderson confirmed that further work had been undertaken on the annual accounts since the report was prepared. In reviewing year-end entries, additional accruals of £202k had been identified, revising the projected position to a deficit of </w:t>
            </w:r>
            <w:r w:rsidR="00171F45">
              <w:rPr>
                <w:bCs/>
              </w:rPr>
              <w:t>c</w:t>
            </w:r>
            <w:r w:rsidRPr="00F903E9">
              <w:rPr>
                <w:bCs/>
              </w:rPr>
              <w:t>£440k</w:t>
            </w:r>
            <w:r w:rsidR="00775B9B">
              <w:rPr>
                <w:bCs/>
              </w:rPr>
              <w:t xml:space="preserve"> but that this may still change marginally.</w:t>
            </w:r>
          </w:p>
          <w:p w14:paraId="3A8C7AEB" w14:textId="77777777" w:rsidR="00775B9B" w:rsidRDefault="00775B9B" w:rsidP="00F903E9">
            <w:pPr>
              <w:pStyle w:val="TableParagraph"/>
              <w:spacing w:before="0"/>
              <w:rPr>
                <w:bCs/>
              </w:rPr>
            </w:pPr>
          </w:p>
          <w:p w14:paraId="06310B26" w14:textId="2FD4A13E" w:rsidR="00BE1F69" w:rsidRDefault="00775B9B" w:rsidP="00F903E9">
            <w:pPr>
              <w:pStyle w:val="TableParagraph"/>
              <w:spacing w:before="0"/>
              <w:rPr>
                <w:bCs/>
              </w:rPr>
            </w:pPr>
            <w:r>
              <w:rPr>
                <w:bCs/>
              </w:rPr>
              <w:t>B Lawrie thanked N Anderson for this update and noted that, e</w:t>
            </w:r>
            <w:r w:rsidR="00BE1F69" w:rsidRPr="00F903E9">
              <w:rPr>
                <w:bCs/>
              </w:rPr>
              <w:t>xcluding the impact of loan repayments, the College remained broadly at break-even. He noted that checking and adjustments would continue until submission of the accounts to the auditors on 29 September, and further changes remained possible.</w:t>
            </w:r>
          </w:p>
          <w:p w14:paraId="4E15787B" w14:textId="77777777" w:rsidR="00BE1F69" w:rsidRPr="00F903E9" w:rsidRDefault="00BE1F69" w:rsidP="00F903E9">
            <w:pPr>
              <w:pStyle w:val="TableParagraph"/>
              <w:spacing w:before="0"/>
              <w:rPr>
                <w:bCs/>
              </w:rPr>
            </w:pPr>
          </w:p>
          <w:p w14:paraId="2285676E" w14:textId="7B4F2AB8" w:rsidR="00BE1F69" w:rsidRDefault="00BE1F69" w:rsidP="00F903E9">
            <w:pPr>
              <w:pStyle w:val="TableParagraph"/>
              <w:spacing w:before="0"/>
              <w:rPr>
                <w:bCs/>
              </w:rPr>
            </w:pPr>
            <w:r w:rsidRPr="00F903E9">
              <w:rPr>
                <w:bCs/>
              </w:rPr>
              <w:t xml:space="preserve">The closing cash balance at 31 July 2025 was reported as £4.1m, equating to 29 days of cash. This reflected an in-year reduction of £2.7m, a significant proportion of which related to the accrual of the previous </w:t>
            </w:r>
            <w:r w:rsidR="001557FA">
              <w:rPr>
                <w:bCs/>
              </w:rPr>
              <w:t xml:space="preserve">two </w:t>
            </w:r>
            <w:r w:rsidRPr="00F903E9">
              <w:rPr>
                <w:bCs/>
              </w:rPr>
              <w:t>year’s pay award</w:t>
            </w:r>
            <w:r w:rsidR="001557FA">
              <w:rPr>
                <w:bCs/>
              </w:rPr>
              <w:t>s</w:t>
            </w:r>
            <w:r w:rsidRPr="00F903E9">
              <w:rPr>
                <w:bCs/>
              </w:rPr>
              <w:t>.</w:t>
            </w:r>
          </w:p>
          <w:p w14:paraId="1E51807C" w14:textId="77777777" w:rsidR="00BE1F69" w:rsidRDefault="00BE1F69" w:rsidP="00F903E9">
            <w:pPr>
              <w:pStyle w:val="TableParagraph"/>
              <w:spacing w:before="0"/>
              <w:rPr>
                <w:bCs/>
              </w:rPr>
            </w:pPr>
          </w:p>
          <w:p w14:paraId="15469BDC" w14:textId="45F5C88A" w:rsidR="00BE1F69" w:rsidRPr="00F903E9" w:rsidRDefault="00BE1F69" w:rsidP="00F903E9">
            <w:pPr>
              <w:pStyle w:val="TableParagraph"/>
              <w:spacing w:before="0"/>
              <w:rPr>
                <w:bCs/>
              </w:rPr>
            </w:pPr>
            <w:r>
              <w:rPr>
                <w:bCs/>
              </w:rPr>
              <w:t xml:space="preserve">B Lawrie thanked N Anderson for the update. </w:t>
            </w:r>
          </w:p>
          <w:p w14:paraId="7FA17F8F" w14:textId="77777777" w:rsidR="00BE1F69" w:rsidRDefault="00BE1F69" w:rsidP="00662185">
            <w:pPr>
              <w:pStyle w:val="TableParagraph"/>
              <w:spacing w:before="0"/>
              <w:rPr>
                <w:bCs/>
              </w:rPr>
            </w:pPr>
          </w:p>
          <w:p w14:paraId="41229D66" w14:textId="77777777" w:rsidR="00BE1F69" w:rsidRPr="004F005B" w:rsidRDefault="00BE1F69" w:rsidP="00662185">
            <w:pPr>
              <w:pStyle w:val="TableParagraph"/>
              <w:spacing w:before="0"/>
              <w:rPr>
                <w:bCs/>
              </w:rPr>
            </w:pPr>
          </w:p>
          <w:p w14:paraId="171C4335" w14:textId="77777777" w:rsidR="00BE1F69" w:rsidRPr="00B91312" w:rsidRDefault="00BE1F69" w:rsidP="001557FA">
            <w:pPr>
              <w:pStyle w:val="TableParagraph"/>
              <w:numPr>
                <w:ilvl w:val="1"/>
                <w:numId w:val="2"/>
              </w:numPr>
              <w:spacing w:before="0"/>
              <w:ind w:left="431" w:hanging="431"/>
              <w:rPr>
                <w:b/>
              </w:rPr>
            </w:pPr>
            <w:r w:rsidRPr="00B91312">
              <w:rPr>
                <w:b/>
              </w:rPr>
              <w:t>2025/26 Draft Budget and Indicative Budgets for 2026/27 and 2027/28</w:t>
            </w:r>
          </w:p>
          <w:p w14:paraId="780530CA" w14:textId="77777777" w:rsidR="00BE1F69" w:rsidRDefault="00BE1F69" w:rsidP="00662185">
            <w:pPr>
              <w:pStyle w:val="TableParagraph"/>
              <w:spacing w:before="0"/>
              <w:rPr>
                <w:bCs/>
              </w:rPr>
            </w:pPr>
          </w:p>
          <w:p w14:paraId="641E8F6E" w14:textId="17C7A064" w:rsidR="00BE1F69" w:rsidRDefault="00BE1F69" w:rsidP="009E7F23">
            <w:pPr>
              <w:pStyle w:val="TableParagraph"/>
              <w:spacing w:before="0"/>
              <w:rPr>
                <w:bCs/>
              </w:rPr>
            </w:pPr>
            <w:r>
              <w:rPr>
                <w:bCs/>
              </w:rPr>
              <w:t>N</w:t>
            </w:r>
            <w:r w:rsidRPr="009E7F23">
              <w:rPr>
                <w:bCs/>
              </w:rPr>
              <w:t xml:space="preserve"> Anderson presented the paper for </w:t>
            </w:r>
            <w:r w:rsidR="0017698E">
              <w:rPr>
                <w:bCs/>
              </w:rPr>
              <w:t>approval</w:t>
            </w:r>
            <w:r w:rsidRPr="009E7F23">
              <w:rPr>
                <w:bCs/>
              </w:rPr>
              <w:t xml:space="preserve"> and advised Members of the progress with the 2025/26 budget, which currently reflected a deficit of £2.3m. She further highlighted the indicative budgets for future years, with a projected deficit of £6.9m in 2026/27 and £6.6m in 2027/28.</w:t>
            </w:r>
          </w:p>
          <w:p w14:paraId="57A0ACDE" w14:textId="77777777" w:rsidR="00BE1F69" w:rsidRPr="009E7F23" w:rsidRDefault="00BE1F69" w:rsidP="009E7F23">
            <w:pPr>
              <w:pStyle w:val="TableParagraph"/>
              <w:spacing w:before="0"/>
              <w:rPr>
                <w:bCs/>
              </w:rPr>
            </w:pPr>
          </w:p>
          <w:p w14:paraId="0371649A" w14:textId="04EF3856" w:rsidR="00BE1F69" w:rsidRDefault="00BE1F69" w:rsidP="009E7F23">
            <w:pPr>
              <w:pStyle w:val="TableParagraph"/>
              <w:spacing w:before="0"/>
              <w:rPr>
                <w:bCs/>
              </w:rPr>
            </w:pPr>
            <w:r w:rsidRPr="009E7F23">
              <w:rPr>
                <w:bCs/>
              </w:rPr>
              <w:t>Since the paper was prepared, further information had been received. Verbal confirmation had been given by the SFC that the proposed CDEL/RDEL switch would proceed; however, while this arrangement would be workable for colleges, it posed a regularity concern for Audit Scotland, which had not agreed to the proposal</w:t>
            </w:r>
            <w:r w:rsidR="0017698E">
              <w:rPr>
                <w:bCs/>
              </w:rPr>
              <w:t xml:space="preserve"> and had resulted in a less clear position from SFC</w:t>
            </w:r>
            <w:r w:rsidRPr="009E7F23">
              <w:rPr>
                <w:bCs/>
              </w:rPr>
              <w:t>. Should the switch not be implemented, the College would face an additional financial impact of £1.6m in 2025/26, with the risk of further increases in subsequent years.</w:t>
            </w:r>
          </w:p>
          <w:p w14:paraId="14F8ADC1" w14:textId="77777777" w:rsidR="00BE1F69" w:rsidRPr="009E7F23" w:rsidRDefault="00BE1F69" w:rsidP="009E7F23">
            <w:pPr>
              <w:pStyle w:val="TableParagraph"/>
              <w:spacing w:before="0"/>
              <w:rPr>
                <w:bCs/>
              </w:rPr>
            </w:pPr>
          </w:p>
          <w:p w14:paraId="302D222A" w14:textId="7C335829" w:rsidR="00BE1F69" w:rsidRDefault="00BE1F69" w:rsidP="009E7F23">
            <w:pPr>
              <w:pStyle w:val="TableParagraph"/>
              <w:spacing w:before="0"/>
              <w:rPr>
                <w:bCs/>
              </w:rPr>
            </w:pPr>
            <w:r w:rsidRPr="009E7F23">
              <w:rPr>
                <w:bCs/>
              </w:rPr>
              <w:t xml:space="preserve">It was noted that the budgets assumed </w:t>
            </w:r>
            <w:r w:rsidR="00851759">
              <w:rPr>
                <w:bCs/>
              </w:rPr>
              <w:t xml:space="preserve">that the proportion of </w:t>
            </w:r>
            <w:r w:rsidRPr="009E7F23">
              <w:rPr>
                <w:bCs/>
              </w:rPr>
              <w:t xml:space="preserve">funding provided for </w:t>
            </w:r>
            <w:r>
              <w:rPr>
                <w:bCs/>
              </w:rPr>
              <w:t>N</w:t>
            </w:r>
            <w:r w:rsidRPr="009E7F23">
              <w:rPr>
                <w:bCs/>
              </w:rPr>
              <w:t xml:space="preserve">ational </w:t>
            </w:r>
            <w:r>
              <w:rPr>
                <w:bCs/>
              </w:rPr>
              <w:t>I</w:t>
            </w:r>
            <w:r w:rsidRPr="009E7F23">
              <w:rPr>
                <w:bCs/>
              </w:rPr>
              <w:t>nsurance, academic pensions, and any pay awards above 3%</w:t>
            </w:r>
            <w:r w:rsidR="00851759">
              <w:rPr>
                <w:bCs/>
              </w:rPr>
              <w:t xml:space="preserve"> in 2025/26 would continue in future years</w:t>
            </w:r>
            <w:r w:rsidRPr="009E7F23">
              <w:rPr>
                <w:bCs/>
              </w:rPr>
              <w:t>. Given that the SFC had not been able to meet the full cost of pensions</w:t>
            </w:r>
            <w:r w:rsidR="002C475B">
              <w:rPr>
                <w:bCs/>
              </w:rPr>
              <w:t xml:space="preserve"> already allocated</w:t>
            </w:r>
            <w:r w:rsidRPr="009E7F23">
              <w:rPr>
                <w:bCs/>
              </w:rPr>
              <w:t>, there was an increased risk that such items may not be funded in future years.</w:t>
            </w:r>
          </w:p>
          <w:p w14:paraId="31DEEC62" w14:textId="77777777" w:rsidR="00BE1F69" w:rsidRDefault="00BE1F69" w:rsidP="00662185">
            <w:pPr>
              <w:pStyle w:val="TableParagraph"/>
              <w:spacing w:before="0"/>
              <w:rPr>
                <w:bCs/>
              </w:rPr>
            </w:pPr>
          </w:p>
          <w:p w14:paraId="5DF0E6B4" w14:textId="0B4FFB72" w:rsidR="00BE1F69" w:rsidRDefault="00BE1F69" w:rsidP="00834A48">
            <w:pPr>
              <w:pStyle w:val="TableParagraph"/>
              <w:spacing w:before="0"/>
              <w:rPr>
                <w:bCs/>
              </w:rPr>
            </w:pPr>
            <w:r w:rsidRPr="00834A48">
              <w:rPr>
                <w:bCs/>
              </w:rPr>
              <w:t>B Lawrie queried whether confidence had reduced in receiving the pension funding, noting that monies were normally withdrawn in the first part of the year. N Anderson confirmed that the assumption remained that the College would receive this funding and that £150k had been accrued for pensions</w:t>
            </w:r>
            <w:r w:rsidR="002C475B">
              <w:rPr>
                <w:bCs/>
              </w:rPr>
              <w:t xml:space="preserve"> but then had to be removed.</w:t>
            </w:r>
          </w:p>
          <w:p w14:paraId="66B61384" w14:textId="77777777" w:rsidR="00BE1F69" w:rsidRPr="00834A48" w:rsidRDefault="00BE1F69" w:rsidP="00834A48">
            <w:pPr>
              <w:pStyle w:val="TableParagraph"/>
              <w:spacing w:before="0"/>
              <w:rPr>
                <w:bCs/>
              </w:rPr>
            </w:pPr>
          </w:p>
          <w:p w14:paraId="60D11FE0" w14:textId="253BC8A4" w:rsidR="00BE1F69" w:rsidRDefault="00BE1F69" w:rsidP="00834A48">
            <w:pPr>
              <w:pStyle w:val="TableParagraph"/>
              <w:spacing w:before="0"/>
              <w:rPr>
                <w:bCs/>
              </w:rPr>
            </w:pPr>
            <w:r w:rsidRPr="00834A48">
              <w:rPr>
                <w:bCs/>
              </w:rPr>
              <w:t>G</w:t>
            </w:r>
            <w:r>
              <w:rPr>
                <w:bCs/>
              </w:rPr>
              <w:t xml:space="preserve"> </w:t>
            </w:r>
            <w:r w:rsidRPr="00834A48">
              <w:rPr>
                <w:bCs/>
              </w:rPr>
              <w:t xml:space="preserve">Bell sought clarification on whether the projected deficit for 2025/26 </w:t>
            </w:r>
            <w:proofErr w:type="gramStart"/>
            <w:r w:rsidRPr="00834A48">
              <w:rPr>
                <w:bCs/>
              </w:rPr>
              <w:t>would be the position</w:t>
            </w:r>
            <w:proofErr w:type="gramEnd"/>
            <w:r w:rsidRPr="00834A48">
              <w:rPr>
                <w:bCs/>
              </w:rPr>
              <w:t xml:space="preserve"> presented to the Board in three weeks’ time or if it could change. N Anderson advised that the Senior Leadership Team </w:t>
            </w:r>
            <w:r>
              <w:rPr>
                <w:bCs/>
              </w:rPr>
              <w:t>are</w:t>
            </w:r>
            <w:r w:rsidRPr="00834A48">
              <w:rPr>
                <w:bCs/>
              </w:rPr>
              <w:t xml:space="preserve"> developing savings proposals, and while the position could be updated for the Board, a consultation process would be required. </w:t>
            </w:r>
          </w:p>
          <w:p w14:paraId="685E2059" w14:textId="77777777" w:rsidR="00BE1F69" w:rsidRDefault="00BE1F69" w:rsidP="00834A48">
            <w:pPr>
              <w:pStyle w:val="TableParagraph"/>
              <w:spacing w:before="0"/>
              <w:rPr>
                <w:bCs/>
              </w:rPr>
            </w:pPr>
          </w:p>
          <w:p w14:paraId="7DCF6A38" w14:textId="6B69D5BB" w:rsidR="00BE1F69" w:rsidRDefault="00BE1F69" w:rsidP="00834A48">
            <w:pPr>
              <w:pStyle w:val="TableParagraph"/>
              <w:spacing w:before="0"/>
              <w:rPr>
                <w:bCs/>
              </w:rPr>
            </w:pPr>
            <w:r w:rsidRPr="00834A48">
              <w:rPr>
                <w:bCs/>
              </w:rPr>
              <w:t xml:space="preserve">S Taylor added that </w:t>
            </w:r>
            <w:r w:rsidR="0058076B">
              <w:rPr>
                <w:bCs/>
              </w:rPr>
              <w:t xml:space="preserve">non staff </w:t>
            </w:r>
            <w:r w:rsidRPr="00834A48">
              <w:rPr>
                <w:bCs/>
              </w:rPr>
              <w:t xml:space="preserve">savings could be built into the budget as they were identified, acknowledging that staffing would </w:t>
            </w:r>
            <w:r w:rsidR="0058076B">
              <w:rPr>
                <w:bCs/>
              </w:rPr>
              <w:t xml:space="preserve">have to </w:t>
            </w:r>
            <w:r w:rsidRPr="00834A48">
              <w:rPr>
                <w:bCs/>
              </w:rPr>
              <w:t xml:space="preserve">form </w:t>
            </w:r>
            <w:r w:rsidR="0058076B">
              <w:rPr>
                <w:bCs/>
              </w:rPr>
              <w:t xml:space="preserve">the largest </w:t>
            </w:r>
            <w:r w:rsidRPr="00834A48">
              <w:rPr>
                <w:bCs/>
              </w:rPr>
              <w:t>part of these considerations. He emphasised that while the budget would be challenging, improvements could be achieved as savings were realised. S Hewitt noted the importance of ensuring the</w:t>
            </w:r>
            <w:r w:rsidR="00930EBF">
              <w:rPr>
                <w:bCs/>
              </w:rPr>
              <w:t xml:space="preserve"> financial</w:t>
            </w:r>
            <w:r w:rsidRPr="00834A48">
              <w:rPr>
                <w:bCs/>
              </w:rPr>
              <w:t xml:space="preserve"> contribution </w:t>
            </w:r>
            <w:r w:rsidR="00930EBF">
              <w:rPr>
                <w:bCs/>
              </w:rPr>
              <w:t>from new projects or non-core activities was considered as well as savings</w:t>
            </w:r>
            <w:r w:rsidRPr="00834A48">
              <w:rPr>
                <w:bCs/>
              </w:rPr>
              <w:t>.</w:t>
            </w:r>
          </w:p>
          <w:p w14:paraId="7FF3D896" w14:textId="77777777" w:rsidR="00BE1F69" w:rsidRPr="00834A48" w:rsidRDefault="00BE1F69" w:rsidP="00834A48">
            <w:pPr>
              <w:pStyle w:val="TableParagraph"/>
              <w:spacing w:before="0"/>
              <w:rPr>
                <w:bCs/>
              </w:rPr>
            </w:pPr>
          </w:p>
          <w:p w14:paraId="6F9DDBD5" w14:textId="77777777" w:rsidR="007A7F7B" w:rsidRDefault="00BE1F69" w:rsidP="00662185">
            <w:pPr>
              <w:pStyle w:val="TableParagraph"/>
              <w:spacing w:before="0"/>
              <w:rPr>
                <w:bCs/>
              </w:rPr>
            </w:pPr>
            <w:r w:rsidRPr="0065511B">
              <w:rPr>
                <w:bCs/>
              </w:rPr>
              <w:t xml:space="preserve">B Lawrie expressed concern regarding the commencement of the financial year with a significant deficit budget. While </w:t>
            </w:r>
            <w:r w:rsidR="0058076B">
              <w:rPr>
                <w:bCs/>
              </w:rPr>
              <w:t xml:space="preserve">recognising why this was the position and </w:t>
            </w:r>
            <w:r w:rsidRPr="0065511B">
              <w:rPr>
                <w:bCs/>
              </w:rPr>
              <w:t>acknowledging the actions underway to address the position</w:t>
            </w:r>
            <w:r w:rsidR="007A7F7B">
              <w:rPr>
                <w:bCs/>
              </w:rPr>
              <w:t>.</w:t>
            </w:r>
          </w:p>
          <w:p w14:paraId="33EE863B" w14:textId="77777777" w:rsidR="007A7F7B" w:rsidRDefault="007A7F7B" w:rsidP="00662185">
            <w:pPr>
              <w:pStyle w:val="TableParagraph"/>
              <w:spacing w:before="0"/>
              <w:rPr>
                <w:bCs/>
              </w:rPr>
            </w:pPr>
          </w:p>
          <w:p w14:paraId="00E18FB9" w14:textId="77777777" w:rsidR="007A7F7B" w:rsidRDefault="007A7F7B" w:rsidP="00662185">
            <w:pPr>
              <w:pStyle w:val="TableParagraph"/>
              <w:spacing w:before="0"/>
              <w:rPr>
                <w:bCs/>
              </w:rPr>
            </w:pPr>
          </w:p>
          <w:p w14:paraId="5A995951" w14:textId="77777777" w:rsidR="00670C92" w:rsidRDefault="007A7F7B" w:rsidP="00662185">
            <w:pPr>
              <w:pStyle w:val="TableParagraph"/>
              <w:spacing w:before="0"/>
              <w:rPr>
                <w:bCs/>
              </w:rPr>
            </w:pPr>
            <w:r>
              <w:rPr>
                <w:bCs/>
              </w:rPr>
              <w:lastRenderedPageBreak/>
              <w:t>B Lawrie</w:t>
            </w:r>
            <w:r w:rsidR="00BE1F69" w:rsidRPr="0065511B">
              <w:rPr>
                <w:bCs/>
              </w:rPr>
              <w:t xml:space="preserve"> emphasised the need to keep the Board fully informed at a strategic level and requested that Members receive regular updates to support effective decision-making.</w:t>
            </w:r>
            <w:r w:rsidR="00BE1F69">
              <w:rPr>
                <w:bCs/>
              </w:rPr>
              <w:t xml:space="preserve"> </w:t>
            </w:r>
          </w:p>
          <w:p w14:paraId="695346AF" w14:textId="77777777" w:rsidR="00670C92" w:rsidRDefault="00670C92" w:rsidP="00662185">
            <w:pPr>
              <w:pStyle w:val="TableParagraph"/>
              <w:spacing w:before="0"/>
              <w:rPr>
                <w:bCs/>
              </w:rPr>
            </w:pPr>
          </w:p>
          <w:p w14:paraId="1AC9B2DD" w14:textId="4B8B9FF7" w:rsidR="00BE1F69" w:rsidRDefault="00670C92" w:rsidP="00662185">
            <w:pPr>
              <w:pStyle w:val="TableParagraph"/>
              <w:spacing w:before="0"/>
              <w:rPr>
                <w:b/>
              </w:rPr>
            </w:pPr>
            <w:r>
              <w:rPr>
                <w:bCs/>
              </w:rPr>
              <w:t xml:space="preserve">The draft budget was approved for progression to Board approval. </w:t>
            </w:r>
            <w:r w:rsidRPr="00670C92">
              <w:rPr>
                <w:b/>
              </w:rPr>
              <w:t>N Anderson</w:t>
            </w:r>
            <w:r w:rsidR="00BE1F69" w:rsidRPr="00670C92">
              <w:rPr>
                <w:b/>
              </w:rPr>
              <w:t xml:space="preserve"> to progress.</w:t>
            </w:r>
          </w:p>
          <w:p w14:paraId="5B9B7978" w14:textId="77777777" w:rsidR="00BE1F69" w:rsidRDefault="00BE1F69" w:rsidP="00662185">
            <w:pPr>
              <w:pStyle w:val="TableParagraph"/>
              <w:spacing w:before="0"/>
              <w:rPr>
                <w:bCs/>
              </w:rPr>
            </w:pPr>
          </w:p>
          <w:p w14:paraId="40467D81" w14:textId="77777777" w:rsidR="00BE1F69" w:rsidRPr="00232402" w:rsidRDefault="00BE1F69" w:rsidP="00C1357F">
            <w:pPr>
              <w:pStyle w:val="TableParagraph"/>
              <w:numPr>
                <w:ilvl w:val="1"/>
                <w:numId w:val="2"/>
              </w:numPr>
              <w:spacing w:before="0"/>
              <w:ind w:left="431" w:hanging="431"/>
              <w:rPr>
                <w:b/>
              </w:rPr>
            </w:pPr>
            <w:r w:rsidRPr="00232402">
              <w:rPr>
                <w:b/>
              </w:rPr>
              <w:t xml:space="preserve">Financial Forecast Return (FFR)  </w:t>
            </w:r>
          </w:p>
          <w:p w14:paraId="7F735B66" w14:textId="77777777" w:rsidR="00BE1F69" w:rsidRDefault="00BE1F69" w:rsidP="00662185">
            <w:pPr>
              <w:pStyle w:val="TableParagraph"/>
              <w:spacing w:before="0"/>
              <w:rPr>
                <w:bCs/>
              </w:rPr>
            </w:pPr>
          </w:p>
          <w:p w14:paraId="0595FE28" w14:textId="34CC7B59" w:rsidR="00BE1F69" w:rsidRDefault="00BE1F69" w:rsidP="00923E3B">
            <w:pPr>
              <w:pStyle w:val="TableParagraph"/>
              <w:spacing w:before="0"/>
              <w:rPr>
                <w:bCs/>
              </w:rPr>
            </w:pPr>
            <w:r w:rsidRPr="00923E3B">
              <w:rPr>
                <w:bCs/>
              </w:rPr>
              <w:t xml:space="preserve">N Anderson presented the report, noting that it covered the period 2025/26 to 2027/28 and was informed by the </w:t>
            </w:r>
            <w:r w:rsidR="00467F7B">
              <w:rPr>
                <w:bCs/>
              </w:rPr>
              <w:t xml:space="preserve">draft </w:t>
            </w:r>
            <w:r w:rsidRPr="00923E3B">
              <w:rPr>
                <w:bCs/>
              </w:rPr>
              <w:t xml:space="preserve">budget in May. Due to the timing of the Committee cycle, the FFR was reviewed and approved by </w:t>
            </w:r>
            <w:r>
              <w:rPr>
                <w:bCs/>
              </w:rPr>
              <w:t>L O’Donnell</w:t>
            </w:r>
            <w:r w:rsidRPr="00923E3B">
              <w:rPr>
                <w:bCs/>
              </w:rPr>
              <w:t>, as Board Chair, and B</w:t>
            </w:r>
            <w:r>
              <w:rPr>
                <w:bCs/>
              </w:rPr>
              <w:t xml:space="preserve"> Lawrie</w:t>
            </w:r>
            <w:r w:rsidRPr="00923E3B">
              <w:rPr>
                <w:bCs/>
              </w:rPr>
              <w:t>, as Chair of the Finance &amp; I</w:t>
            </w:r>
            <w:r>
              <w:rPr>
                <w:bCs/>
              </w:rPr>
              <w:t>nfrastructure</w:t>
            </w:r>
            <w:r w:rsidRPr="00923E3B">
              <w:rPr>
                <w:bCs/>
              </w:rPr>
              <w:t xml:space="preserve"> Committee, prior to submission to the SFC.</w:t>
            </w:r>
          </w:p>
          <w:p w14:paraId="631C0619" w14:textId="77777777" w:rsidR="00BE1F69" w:rsidRPr="00923E3B" w:rsidRDefault="00BE1F69" w:rsidP="00923E3B">
            <w:pPr>
              <w:pStyle w:val="TableParagraph"/>
              <w:spacing w:before="0"/>
              <w:rPr>
                <w:bCs/>
              </w:rPr>
            </w:pPr>
          </w:p>
          <w:p w14:paraId="66440066" w14:textId="77777777" w:rsidR="00BE1F69" w:rsidRDefault="00BE1F69" w:rsidP="00923E3B">
            <w:pPr>
              <w:pStyle w:val="TableParagraph"/>
              <w:spacing w:before="0"/>
              <w:rPr>
                <w:bCs/>
              </w:rPr>
            </w:pPr>
            <w:r w:rsidRPr="00923E3B">
              <w:rPr>
                <w:bCs/>
              </w:rPr>
              <w:t>Members were advised that the College had successfully communicated a realistic financial position to the SFC. While the report presented a challenging outlook, it was acknowledged that it accurately reflected the College’s financial position.</w:t>
            </w:r>
          </w:p>
          <w:p w14:paraId="64740C49" w14:textId="77777777" w:rsidR="00BE1F69" w:rsidRPr="00923E3B" w:rsidRDefault="00BE1F69" w:rsidP="00923E3B">
            <w:pPr>
              <w:pStyle w:val="TableParagraph"/>
              <w:spacing w:before="0"/>
              <w:rPr>
                <w:bCs/>
              </w:rPr>
            </w:pPr>
          </w:p>
          <w:p w14:paraId="19823819" w14:textId="25A84427" w:rsidR="00BE1F69" w:rsidRDefault="00BE1F69" w:rsidP="00D00667">
            <w:pPr>
              <w:pStyle w:val="TableParagraph"/>
              <w:spacing w:before="0"/>
              <w:rPr>
                <w:bCs/>
              </w:rPr>
            </w:pPr>
            <w:r w:rsidRPr="00D00667">
              <w:rPr>
                <w:bCs/>
              </w:rPr>
              <w:t>B Lawrie commented that the narrative in Section 4 was particularly helpful and queried whether it had been submitted to the SFC, to which N Anderson confirmed that it had.</w:t>
            </w:r>
          </w:p>
          <w:p w14:paraId="7ACB680E" w14:textId="77777777" w:rsidR="00BE1F69" w:rsidRPr="00D00667" w:rsidRDefault="00BE1F69" w:rsidP="00D00667">
            <w:pPr>
              <w:pStyle w:val="TableParagraph"/>
              <w:spacing w:before="0"/>
              <w:rPr>
                <w:bCs/>
              </w:rPr>
            </w:pPr>
          </w:p>
          <w:p w14:paraId="33AECF21" w14:textId="255BA646" w:rsidR="00BE1F69" w:rsidRDefault="00BE1F69" w:rsidP="00D00667">
            <w:pPr>
              <w:pStyle w:val="TableParagraph"/>
              <w:spacing w:before="0"/>
              <w:rPr>
                <w:bCs/>
              </w:rPr>
            </w:pPr>
            <w:r w:rsidRPr="00D00667">
              <w:rPr>
                <w:bCs/>
              </w:rPr>
              <w:t>N Anderson explained that the FFR required the inclusion of a savings figure to achieve a balanced position, although the College had not assumed that these savings would be realised</w:t>
            </w:r>
            <w:r>
              <w:rPr>
                <w:bCs/>
              </w:rPr>
              <w:t>, however, S</w:t>
            </w:r>
            <w:r w:rsidRPr="00D00667">
              <w:rPr>
                <w:bCs/>
              </w:rPr>
              <w:t xml:space="preserve"> Hewitt noted that this approach was consistent with </w:t>
            </w:r>
            <w:r w:rsidR="0012081B">
              <w:rPr>
                <w:bCs/>
              </w:rPr>
              <w:t xml:space="preserve">many </w:t>
            </w:r>
            <w:r w:rsidRPr="00D00667">
              <w:rPr>
                <w:bCs/>
              </w:rPr>
              <w:t>other colleges and served to make the position clearer and more visual.</w:t>
            </w:r>
          </w:p>
          <w:p w14:paraId="5B845D18" w14:textId="77777777" w:rsidR="00BE1F69" w:rsidRPr="00D00667" w:rsidRDefault="00BE1F69" w:rsidP="00D00667">
            <w:pPr>
              <w:pStyle w:val="TableParagraph"/>
              <w:spacing w:before="0"/>
              <w:rPr>
                <w:bCs/>
              </w:rPr>
            </w:pPr>
          </w:p>
          <w:p w14:paraId="4571F175" w14:textId="77B51C88" w:rsidR="00BE1F69" w:rsidRDefault="00BE1F69" w:rsidP="00662185">
            <w:pPr>
              <w:pStyle w:val="TableParagraph"/>
              <w:spacing w:before="0"/>
              <w:rPr>
                <w:bCs/>
              </w:rPr>
            </w:pPr>
            <w:r w:rsidRPr="00D00667">
              <w:rPr>
                <w:bCs/>
              </w:rPr>
              <w:t>B Lawrie thanked N Anderson for the update.</w:t>
            </w:r>
          </w:p>
          <w:p w14:paraId="324AF8BC" w14:textId="77777777" w:rsidR="00BE1F69" w:rsidRPr="00147E3B" w:rsidRDefault="00BE1F69" w:rsidP="00662185">
            <w:pPr>
              <w:pStyle w:val="TableParagraph"/>
              <w:spacing w:before="0"/>
              <w:rPr>
                <w:b/>
              </w:rPr>
            </w:pPr>
          </w:p>
        </w:tc>
      </w:tr>
      <w:tr w:rsidR="00BE1F69" w:rsidRPr="00147E3B" w14:paraId="1A09A9CD" w14:textId="77777777" w:rsidTr="00CA4EAA">
        <w:trPr>
          <w:trHeight w:val="491"/>
        </w:trPr>
        <w:tc>
          <w:tcPr>
            <w:tcW w:w="567" w:type="dxa"/>
          </w:tcPr>
          <w:p w14:paraId="78BEB1B8" w14:textId="77777777" w:rsidR="00BE1F69" w:rsidRPr="00147E3B" w:rsidRDefault="00BE1F69" w:rsidP="00662185">
            <w:pPr>
              <w:pStyle w:val="TableParagraph"/>
              <w:numPr>
                <w:ilvl w:val="0"/>
                <w:numId w:val="1"/>
              </w:numPr>
              <w:spacing w:before="0"/>
              <w:ind w:left="0" w:firstLine="0"/>
              <w:jc w:val="center"/>
              <w:rPr>
                <w:b/>
              </w:rPr>
            </w:pPr>
            <w:r>
              <w:rPr>
                <w:b/>
              </w:rPr>
              <w:lastRenderedPageBreak/>
              <w:t>N</w:t>
            </w:r>
          </w:p>
        </w:tc>
        <w:tc>
          <w:tcPr>
            <w:tcW w:w="9356" w:type="dxa"/>
          </w:tcPr>
          <w:p w14:paraId="46B4DC99" w14:textId="77777777" w:rsidR="00BE1F69" w:rsidRDefault="00BE1F69" w:rsidP="00D843DF">
            <w:pPr>
              <w:pStyle w:val="TableParagraph"/>
              <w:spacing w:before="0"/>
              <w:rPr>
                <w:b/>
              </w:rPr>
            </w:pPr>
            <w:r>
              <w:rPr>
                <w:b/>
              </w:rPr>
              <w:t>GARDYNE THEATRE UPDATE</w:t>
            </w:r>
          </w:p>
          <w:p w14:paraId="3FC54D8E" w14:textId="77777777" w:rsidR="00BE1F69" w:rsidRDefault="00BE1F69" w:rsidP="00D843DF">
            <w:pPr>
              <w:pStyle w:val="TableParagraph"/>
              <w:spacing w:before="0"/>
              <w:rPr>
                <w:b/>
              </w:rPr>
            </w:pPr>
          </w:p>
          <w:p w14:paraId="13D4250B" w14:textId="6F54C33C" w:rsidR="00BE1F69" w:rsidRPr="00F4606C" w:rsidRDefault="00BE1F69" w:rsidP="00D843DF">
            <w:pPr>
              <w:pStyle w:val="TableParagraph"/>
              <w:spacing w:before="0"/>
              <w:rPr>
                <w:bCs/>
              </w:rPr>
            </w:pPr>
            <w:r w:rsidRPr="00F4606C">
              <w:rPr>
                <w:bCs/>
              </w:rPr>
              <w:t>N Anderson advised members that plans were being finalised for implementation by the end of September</w:t>
            </w:r>
            <w:r>
              <w:rPr>
                <w:bCs/>
              </w:rPr>
              <w:t xml:space="preserve"> 2025</w:t>
            </w:r>
            <w:r w:rsidRPr="00F4606C">
              <w:rPr>
                <w:bCs/>
              </w:rPr>
              <w:t xml:space="preserve">. N Anderson highlighted that preparations were underway for the College to assume operation of the Theatre from 31 December 2025. </w:t>
            </w:r>
          </w:p>
          <w:p w14:paraId="5E617F20" w14:textId="77777777" w:rsidR="00BE1F69" w:rsidRDefault="00BE1F69" w:rsidP="00D843DF">
            <w:pPr>
              <w:pStyle w:val="TableParagraph"/>
              <w:spacing w:before="0"/>
              <w:rPr>
                <w:b/>
              </w:rPr>
            </w:pPr>
          </w:p>
          <w:p w14:paraId="2A5E8748" w14:textId="31D747A7" w:rsidR="00BE1F69" w:rsidRDefault="00BE1F69" w:rsidP="00D843DF">
            <w:pPr>
              <w:pStyle w:val="TableParagraph"/>
              <w:spacing w:before="0"/>
              <w:rPr>
                <w:b/>
              </w:rPr>
            </w:pPr>
            <w:r w:rsidRPr="00F4606C">
              <w:rPr>
                <w:bCs/>
              </w:rPr>
              <w:t xml:space="preserve">B Lawrie thanked N Anderson for the update. </w:t>
            </w:r>
          </w:p>
          <w:p w14:paraId="237FC40F" w14:textId="77777777" w:rsidR="00BE1F69" w:rsidRPr="00147E3B" w:rsidRDefault="00BE1F69" w:rsidP="00D843DF">
            <w:pPr>
              <w:pStyle w:val="TableParagraph"/>
              <w:spacing w:before="0"/>
              <w:rPr>
                <w:b/>
              </w:rPr>
            </w:pPr>
          </w:p>
        </w:tc>
      </w:tr>
      <w:tr w:rsidR="00BE1F69" w:rsidRPr="00147E3B" w14:paraId="35896656" w14:textId="77777777" w:rsidTr="00CA4EAA">
        <w:trPr>
          <w:trHeight w:val="507"/>
        </w:trPr>
        <w:tc>
          <w:tcPr>
            <w:tcW w:w="567" w:type="dxa"/>
          </w:tcPr>
          <w:p w14:paraId="7FC3E1A7"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18B4CF1D" w14:textId="77777777" w:rsidR="00BE1F69" w:rsidRPr="00147E3B" w:rsidRDefault="00BE1F69" w:rsidP="00D843DF">
            <w:pPr>
              <w:pStyle w:val="TableParagraph"/>
              <w:spacing w:before="0"/>
              <w:rPr>
                <w:b/>
              </w:rPr>
            </w:pPr>
            <w:r>
              <w:rPr>
                <w:b/>
              </w:rPr>
              <w:t>INFRASTRUCTURE</w:t>
            </w:r>
          </w:p>
          <w:p w14:paraId="6B7A405B" w14:textId="77777777" w:rsidR="00BE1F69" w:rsidRPr="00147E3B" w:rsidRDefault="00BE1F69" w:rsidP="00D843DF">
            <w:pPr>
              <w:pStyle w:val="TableParagraph"/>
              <w:spacing w:before="0"/>
              <w:rPr>
                <w:b/>
              </w:rPr>
            </w:pPr>
          </w:p>
          <w:p w14:paraId="4C03E56F" w14:textId="77777777" w:rsidR="00BE1F69" w:rsidRPr="00FA65FC" w:rsidRDefault="00BE1F69" w:rsidP="00662185">
            <w:pPr>
              <w:pStyle w:val="ListParagraph"/>
              <w:numPr>
                <w:ilvl w:val="0"/>
                <w:numId w:val="2"/>
              </w:numPr>
              <w:contextualSpacing w:val="0"/>
              <w:rPr>
                <w:b/>
                <w:vanish/>
              </w:rPr>
            </w:pPr>
          </w:p>
          <w:p w14:paraId="4C85AF43" w14:textId="77777777" w:rsidR="00BE1F69" w:rsidRPr="00D671CE" w:rsidRDefault="00BE1F69" w:rsidP="00AF148D">
            <w:pPr>
              <w:pStyle w:val="TableParagraph"/>
              <w:numPr>
                <w:ilvl w:val="1"/>
                <w:numId w:val="2"/>
              </w:numPr>
              <w:spacing w:before="0"/>
              <w:ind w:left="431" w:hanging="431"/>
              <w:rPr>
                <w:b/>
              </w:rPr>
            </w:pPr>
            <w:r w:rsidRPr="00D671CE">
              <w:rPr>
                <w:b/>
              </w:rPr>
              <w:t>Future Infrastructure Vision</w:t>
            </w:r>
          </w:p>
          <w:p w14:paraId="37AB2EAD" w14:textId="77777777" w:rsidR="00BE1F69" w:rsidRDefault="00BE1F69" w:rsidP="00662185">
            <w:pPr>
              <w:pStyle w:val="TableParagraph"/>
              <w:spacing w:before="0"/>
              <w:rPr>
                <w:bCs/>
              </w:rPr>
            </w:pPr>
          </w:p>
          <w:p w14:paraId="4B683A97" w14:textId="77777777" w:rsidR="00BE1F69" w:rsidRDefault="00BE1F69" w:rsidP="0030489C">
            <w:pPr>
              <w:pStyle w:val="TableParagraph"/>
              <w:spacing w:before="0"/>
              <w:rPr>
                <w:bCs/>
              </w:rPr>
            </w:pPr>
            <w:r w:rsidRPr="0030489C">
              <w:rPr>
                <w:bCs/>
              </w:rPr>
              <w:t xml:space="preserve">S Hewitt highlighted the need to adopt an alternative approach and model to ensure positive engagement and maintain project momentum. Since the publication of the paper, productive meetings have been held with the Funding Council and the Scottish Government. Engagement with Welsh counterparts is scheduled over the next couple of weeks. </w:t>
            </w:r>
          </w:p>
          <w:p w14:paraId="26DA30D7" w14:textId="77777777" w:rsidR="00BE1F69" w:rsidRDefault="00BE1F69" w:rsidP="0030489C">
            <w:pPr>
              <w:pStyle w:val="TableParagraph"/>
              <w:spacing w:before="0"/>
              <w:rPr>
                <w:bCs/>
              </w:rPr>
            </w:pPr>
          </w:p>
          <w:p w14:paraId="4D81AA17" w14:textId="774A8FFC" w:rsidR="00BE1F69" w:rsidRDefault="00BE1F69" w:rsidP="0030489C">
            <w:pPr>
              <w:pStyle w:val="TableParagraph"/>
              <w:spacing w:before="0"/>
              <w:rPr>
                <w:bCs/>
              </w:rPr>
            </w:pPr>
            <w:r>
              <w:rPr>
                <w:bCs/>
              </w:rPr>
              <w:t>S Hewitt stated t</w:t>
            </w:r>
            <w:r w:rsidRPr="0030489C">
              <w:rPr>
                <w:bCs/>
              </w:rPr>
              <w:t>he target for submission of the Outline Business Case (OBC) is</w:t>
            </w:r>
            <w:r>
              <w:rPr>
                <w:bCs/>
              </w:rPr>
              <w:t xml:space="preserve"> scheduled for t</w:t>
            </w:r>
            <w:r w:rsidRPr="0030489C">
              <w:rPr>
                <w:bCs/>
              </w:rPr>
              <w:t>he end of October</w:t>
            </w:r>
            <w:r>
              <w:rPr>
                <w:bCs/>
              </w:rPr>
              <w:t xml:space="preserve"> 2025</w:t>
            </w:r>
            <w:r w:rsidRPr="0030489C">
              <w:rPr>
                <w:bCs/>
              </w:rPr>
              <w:t>. A response is required prior to Christmas to enable the Board and Senior Leadership Team to evaluate a contingency Plan B and consider its implications in the context of challenging budgets. Discussions have also been held with the First Minister, including a meeting in October, which will support the continued advancement of the project. A bid has been submitted to the Funding Council for additional funding.</w:t>
            </w:r>
          </w:p>
          <w:p w14:paraId="3E9C621D" w14:textId="77777777" w:rsidR="00EA4547" w:rsidRDefault="00EA4547" w:rsidP="0030489C">
            <w:pPr>
              <w:pStyle w:val="TableParagraph"/>
              <w:spacing w:before="0"/>
              <w:rPr>
                <w:bCs/>
              </w:rPr>
            </w:pPr>
          </w:p>
          <w:p w14:paraId="3ED0F0B0" w14:textId="3C98B676" w:rsidR="00BE1F69" w:rsidRDefault="00BE1F69" w:rsidP="0030489C">
            <w:pPr>
              <w:pStyle w:val="TableParagraph"/>
              <w:spacing w:before="0"/>
              <w:rPr>
                <w:bCs/>
              </w:rPr>
            </w:pPr>
            <w:r w:rsidRPr="0030489C">
              <w:rPr>
                <w:bCs/>
              </w:rPr>
              <w:t xml:space="preserve">B Lawrie raised </w:t>
            </w:r>
            <w:r w:rsidR="00C50B60">
              <w:rPr>
                <w:bCs/>
              </w:rPr>
              <w:t xml:space="preserve">a query </w:t>
            </w:r>
            <w:r w:rsidRPr="0030489C">
              <w:rPr>
                <w:bCs/>
              </w:rPr>
              <w:t xml:space="preserve">regarding the schedule of accommodation, noting that the size of the city centre component is smaller than originally planned and questioned the amount of work being undertaken in relation to the budget. </w:t>
            </w:r>
          </w:p>
          <w:p w14:paraId="6F6FF9B4" w14:textId="77777777" w:rsidR="00BE1F69" w:rsidRDefault="00BE1F69" w:rsidP="0030489C">
            <w:pPr>
              <w:pStyle w:val="TableParagraph"/>
              <w:spacing w:before="0"/>
              <w:rPr>
                <w:bCs/>
              </w:rPr>
            </w:pPr>
          </w:p>
          <w:p w14:paraId="6E7353DC" w14:textId="77777777" w:rsidR="005E3C53" w:rsidRDefault="005E3C53" w:rsidP="0030489C">
            <w:pPr>
              <w:pStyle w:val="TableParagraph"/>
              <w:spacing w:before="0"/>
              <w:rPr>
                <w:bCs/>
              </w:rPr>
            </w:pPr>
          </w:p>
          <w:p w14:paraId="6FC1234B" w14:textId="77777777" w:rsidR="00930EBF" w:rsidRDefault="00930EBF" w:rsidP="0030489C">
            <w:pPr>
              <w:pStyle w:val="TableParagraph"/>
              <w:spacing w:before="0"/>
              <w:rPr>
                <w:bCs/>
              </w:rPr>
            </w:pPr>
          </w:p>
          <w:p w14:paraId="7945B341" w14:textId="77777777" w:rsidR="005D5B25" w:rsidRDefault="005D5B25" w:rsidP="0030489C">
            <w:pPr>
              <w:pStyle w:val="TableParagraph"/>
              <w:spacing w:before="0"/>
              <w:rPr>
                <w:bCs/>
              </w:rPr>
            </w:pPr>
          </w:p>
          <w:p w14:paraId="02670E6C" w14:textId="3DA63219" w:rsidR="00BE1F69" w:rsidRDefault="00BE1F69" w:rsidP="0030489C">
            <w:pPr>
              <w:pStyle w:val="TableParagraph"/>
              <w:spacing w:before="0"/>
              <w:rPr>
                <w:bCs/>
              </w:rPr>
            </w:pPr>
            <w:r w:rsidRPr="0030489C">
              <w:rPr>
                <w:bCs/>
              </w:rPr>
              <w:lastRenderedPageBreak/>
              <w:t xml:space="preserve">S Hewitt confirmed that the process with the architects is ongoing and that the design will continue to evolve. S Taylor reported that the </w:t>
            </w:r>
            <w:r w:rsidR="005D5B25">
              <w:rPr>
                <w:bCs/>
              </w:rPr>
              <w:t>College was currently smaller in size than it had historically been and that it was important in the future design that it was sized to allow for future growth and change</w:t>
            </w:r>
            <w:r w:rsidRPr="0030489C">
              <w:rPr>
                <w:bCs/>
              </w:rPr>
              <w:t xml:space="preserve">. While acknowledging potential pressures to reduce the scale further, he emphasised the importance of maintaining the college at the largest feasible size. It was noted that this is not solely a college project and that considerations will be aligned with the </w:t>
            </w:r>
            <w:r w:rsidR="00B82E1B">
              <w:rPr>
                <w:bCs/>
              </w:rPr>
              <w:t>developing employability model</w:t>
            </w:r>
            <w:r w:rsidRPr="0030489C">
              <w:rPr>
                <w:bCs/>
              </w:rPr>
              <w:t>.</w:t>
            </w:r>
          </w:p>
          <w:p w14:paraId="08353AF1" w14:textId="77777777" w:rsidR="00BE1F69" w:rsidRPr="0030489C" w:rsidRDefault="00BE1F69" w:rsidP="0030489C">
            <w:pPr>
              <w:pStyle w:val="TableParagraph"/>
              <w:spacing w:before="0"/>
              <w:rPr>
                <w:bCs/>
              </w:rPr>
            </w:pPr>
          </w:p>
          <w:p w14:paraId="46A10573" w14:textId="77777777" w:rsidR="00BE1F69" w:rsidRDefault="00BE1F69" w:rsidP="0030489C">
            <w:pPr>
              <w:pStyle w:val="TableParagraph"/>
              <w:spacing w:before="0"/>
              <w:rPr>
                <w:bCs/>
              </w:rPr>
            </w:pPr>
            <w:r w:rsidRPr="0030489C">
              <w:rPr>
                <w:bCs/>
              </w:rPr>
              <w:t>R Young enquired whether the OBC would include an assessment of potential commercial integration. S Hewitt confirmed that this factor is being incorporated into the assessment.</w:t>
            </w:r>
          </w:p>
          <w:p w14:paraId="4CF2F190" w14:textId="77777777" w:rsidR="00BE1F69" w:rsidRPr="0030489C" w:rsidRDefault="00BE1F69" w:rsidP="0030489C">
            <w:pPr>
              <w:pStyle w:val="TableParagraph"/>
              <w:spacing w:before="0"/>
              <w:rPr>
                <w:bCs/>
              </w:rPr>
            </w:pPr>
          </w:p>
          <w:p w14:paraId="2A5AD9CF" w14:textId="5362C2E3" w:rsidR="00BE1F69" w:rsidRDefault="00BE1F69" w:rsidP="0030489C">
            <w:pPr>
              <w:pStyle w:val="TableParagraph"/>
              <w:spacing w:before="0"/>
              <w:rPr>
                <w:bCs/>
              </w:rPr>
            </w:pPr>
            <w:r w:rsidRPr="0030489C">
              <w:rPr>
                <w:bCs/>
              </w:rPr>
              <w:t xml:space="preserve">K Marsh addressed the distinction between the Steering Group and the Operational Group, noting the roles undertaken by participants and the potential pressures associated with these responsibilities. It was agreed that these considerations </w:t>
            </w:r>
            <w:r w:rsidR="001A46E0">
              <w:rPr>
                <w:bCs/>
              </w:rPr>
              <w:t>were under review and that a request for funding to support appointment of a dedicated project director had been made</w:t>
            </w:r>
            <w:r w:rsidR="00FA70DE">
              <w:rPr>
                <w:bCs/>
              </w:rPr>
              <w:t>.</w:t>
            </w:r>
          </w:p>
          <w:p w14:paraId="27AC0351" w14:textId="77777777" w:rsidR="00BE1F69" w:rsidRPr="0030489C" w:rsidRDefault="00BE1F69" w:rsidP="0030489C">
            <w:pPr>
              <w:pStyle w:val="TableParagraph"/>
              <w:spacing w:before="0"/>
              <w:rPr>
                <w:bCs/>
              </w:rPr>
            </w:pPr>
          </w:p>
          <w:p w14:paraId="17EF0F94" w14:textId="77777777" w:rsidR="00BE58F2" w:rsidRDefault="00BE1F69" w:rsidP="0030489C">
            <w:pPr>
              <w:pStyle w:val="TableParagraph"/>
              <w:spacing w:before="0"/>
              <w:rPr>
                <w:bCs/>
              </w:rPr>
            </w:pPr>
            <w:r w:rsidRPr="0030489C">
              <w:rPr>
                <w:bCs/>
              </w:rPr>
              <w:t xml:space="preserve">The meeting </w:t>
            </w:r>
            <w:r w:rsidR="00FA70DE">
              <w:rPr>
                <w:bCs/>
              </w:rPr>
              <w:t>welcomed the ongoing</w:t>
            </w:r>
            <w:r w:rsidRPr="0030489C">
              <w:rPr>
                <w:bCs/>
              </w:rPr>
              <w:t xml:space="preserve"> </w:t>
            </w:r>
            <w:r w:rsidR="00BE58F2">
              <w:rPr>
                <w:bCs/>
              </w:rPr>
              <w:t xml:space="preserve">progress and </w:t>
            </w:r>
            <w:r w:rsidRPr="0030489C">
              <w:rPr>
                <w:bCs/>
              </w:rPr>
              <w:t>engagement with relevant funding bodies and government representatives</w:t>
            </w:r>
            <w:r w:rsidR="00BE58F2">
              <w:rPr>
                <w:bCs/>
              </w:rPr>
              <w:t>.</w:t>
            </w:r>
          </w:p>
          <w:p w14:paraId="1EFBD40A" w14:textId="77777777" w:rsidR="00BE58F2" w:rsidRDefault="00BE58F2" w:rsidP="0030489C">
            <w:pPr>
              <w:pStyle w:val="TableParagraph"/>
              <w:spacing w:before="0"/>
              <w:rPr>
                <w:bCs/>
              </w:rPr>
            </w:pPr>
          </w:p>
          <w:p w14:paraId="3FA1724F" w14:textId="77777777" w:rsidR="00BE1F69" w:rsidRPr="00542940" w:rsidRDefault="00BE1F69" w:rsidP="00BE3881">
            <w:pPr>
              <w:pStyle w:val="TableParagraph"/>
              <w:numPr>
                <w:ilvl w:val="1"/>
                <w:numId w:val="2"/>
              </w:numPr>
              <w:spacing w:before="0"/>
              <w:ind w:left="431" w:hanging="431"/>
              <w:rPr>
                <w:b/>
              </w:rPr>
            </w:pPr>
            <w:r w:rsidRPr="00542940">
              <w:rPr>
                <w:b/>
              </w:rPr>
              <w:t>Estates Update</w:t>
            </w:r>
          </w:p>
          <w:p w14:paraId="56257DFF" w14:textId="77777777" w:rsidR="00BE1F69" w:rsidRDefault="00BE1F69" w:rsidP="00662185">
            <w:pPr>
              <w:pStyle w:val="TableParagraph"/>
              <w:spacing w:before="0"/>
              <w:rPr>
                <w:bCs/>
              </w:rPr>
            </w:pPr>
          </w:p>
          <w:p w14:paraId="379D5F75" w14:textId="77777777" w:rsidR="00BE1F69" w:rsidRDefault="00BE1F69" w:rsidP="000B356C">
            <w:pPr>
              <w:pStyle w:val="TableParagraph"/>
              <w:spacing w:before="0"/>
              <w:rPr>
                <w:bCs/>
              </w:rPr>
            </w:pPr>
            <w:r w:rsidRPr="000B356C">
              <w:rPr>
                <w:bCs/>
              </w:rPr>
              <w:t>B Grace reported on a successful summer period, noting that efforts to achieve an early start were impacted by school schedules. Despite this, a significant amount of work was completed, including the creation of new facilities. Work remains ongoing as part of a year-long programme extending through to 31 March 2026. Investment and maintenance continue at Arbroath and Kingsway sites to ensure high standards are sustained despite relocation plans.</w:t>
            </w:r>
          </w:p>
          <w:p w14:paraId="5C90AE21" w14:textId="77777777" w:rsidR="00BE1F69" w:rsidRPr="000B356C" w:rsidRDefault="00BE1F69" w:rsidP="000B356C">
            <w:pPr>
              <w:pStyle w:val="TableParagraph"/>
              <w:spacing w:before="0"/>
              <w:rPr>
                <w:bCs/>
              </w:rPr>
            </w:pPr>
          </w:p>
          <w:p w14:paraId="2B63EF76" w14:textId="24F87DA1" w:rsidR="00BE1F69" w:rsidRDefault="00BE1F69" w:rsidP="000B356C">
            <w:pPr>
              <w:pStyle w:val="TableParagraph"/>
              <w:spacing w:before="0"/>
              <w:rPr>
                <w:bCs/>
              </w:rPr>
            </w:pPr>
            <w:r w:rsidRPr="000B356C">
              <w:rPr>
                <w:bCs/>
              </w:rPr>
              <w:t>B Lawrie noted that the previous report indicated completion by March 2025 and suggested that the timeline be updated to reflect the current schedule</w:t>
            </w:r>
            <w:r>
              <w:rPr>
                <w:bCs/>
              </w:rPr>
              <w:t xml:space="preserve"> of 2026</w:t>
            </w:r>
            <w:r w:rsidRPr="000B356C">
              <w:rPr>
                <w:bCs/>
              </w:rPr>
              <w:t>.</w:t>
            </w:r>
            <w:r w:rsidR="000F76D6">
              <w:rPr>
                <w:bCs/>
              </w:rPr>
              <w:t xml:space="preserve"> This was noted.</w:t>
            </w:r>
          </w:p>
          <w:p w14:paraId="553B8E4B" w14:textId="77777777" w:rsidR="00BE1F69" w:rsidRPr="000B356C" w:rsidRDefault="00BE1F69" w:rsidP="000B356C">
            <w:pPr>
              <w:pStyle w:val="TableParagraph"/>
              <w:spacing w:before="0"/>
              <w:rPr>
                <w:bCs/>
              </w:rPr>
            </w:pPr>
          </w:p>
          <w:p w14:paraId="33E6412F" w14:textId="4BED34DE" w:rsidR="00BE1F69" w:rsidRDefault="00BE1F69" w:rsidP="000B356C">
            <w:pPr>
              <w:pStyle w:val="TableParagraph"/>
              <w:spacing w:before="0"/>
              <w:rPr>
                <w:bCs/>
              </w:rPr>
            </w:pPr>
            <w:r w:rsidRPr="000B356C">
              <w:rPr>
                <w:bCs/>
              </w:rPr>
              <w:t xml:space="preserve">L O’Donnell enquired about RAAC, asking whether any changes had occurred and whether a Plan B was in place. B Grace confirmed that monitoring of structural reports is ongoing, with no changes to date. S Taylor </w:t>
            </w:r>
            <w:r w:rsidR="005E3C53">
              <w:rPr>
                <w:bCs/>
              </w:rPr>
              <w:t>noted that an outline</w:t>
            </w:r>
            <w:r w:rsidRPr="000B356C">
              <w:rPr>
                <w:bCs/>
              </w:rPr>
              <w:t xml:space="preserve"> plan is in place and that coordination with local authorities will be undertaken if required.</w:t>
            </w:r>
            <w:r w:rsidR="007E3618">
              <w:rPr>
                <w:bCs/>
              </w:rPr>
              <w:t xml:space="preserve"> L O’Donnell noted that this was an important point for the Committee in terms of governance.</w:t>
            </w:r>
          </w:p>
          <w:p w14:paraId="53624979" w14:textId="77777777" w:rsidR="00BE1F69" w:rsidRPr="000B356C" w:rsidRDefault="00BE1F69" w:rsidP="000B356C">
            <w:pPr>
              <w:pStyle w:val="TableParagraph"/>
              <w:spacing w:before="0"/>
              <w:rPr>
                <w:bCs/>
              </w:rPr>
            </w:pPr>
          </w:p>
          <w:p w14:paraId="235F6E36" w14:textId="496DEC1D" w:rsidR="00BE1F69" w:rsidRDefault="00BE1F69" w:rsidP="000B356C">
            <w:pPr>
              <w:pStyle w:val="TableParagraph"/>
              <w:spacing w:before="0"/>
              <w:rPr>
                <w:bCs/>
              </w:rPr>
            </w:pPr>
            <w:r w:rsidRPr="000B356C">
              <w:rPr>
                <w:bCs/>
              </w:rPr>
              <w:t xml:space="preserve">C Smith raised the issue of </w:t>
            </w:r>
            <w:r w:rsidR="006D08BE">
              <w:rPr>
                <w:bCs/>
              </w:rPr>
              <w:t>risk</w:t>
            </w:r>
            <w:r w:rsidRPr="000B356C">
              <w:rPr>
                <w:bCs/>
              </w:rPr>
              <w:t xml:space="preserve"> and reporting compliance</w:t>
            </w:r>
            <w:r w:rsidR="006D08BE">
              <w:rPr>
                <w:bCs/>
              </w:rPr>
              <w:t xml:space="preserve"> around the key</w:t>
            </w:r>
            <w:r w:rsidR="0020272C">
              <w:rPr>
                <w:bCs/>
              </w:rPr>
              <w:t xml:space="preserve"> mandatory elements of estates activities. B Grace advised that these were monitored and testing schedules etc were in place and </w:t>
            </w:r>
            <w:r w:rsidRPr="000B356C">
              <w:rPr>
                <w:bCs/>
              </w:rPr>
              <w:t>that a robust process is being followed.</w:t>
            </w:r>
          </w:p>
          <w:p w14:paraId="0CCD6EA6" w14:textId="77777777" w:rsidR="00BE1F69" w:rsidRPr="000B356C" w:rsidRDefault="00BE1F69" w:rsidP="000B356C">
            <w:pPr>
              <w:pStyle w:val="TableParagraph"/>
              <w:spacing w:before="0"/>
              <w:rPr>
                <w:bCs/>
              </w:rPr>
            </w:pPr>
          </w:p>
          <w:p w14:paraId="1F13C1B2" w14:textId="77777777" w:rsidR="00BE1F69" w:rsidRDefault="00BE1F69" w:rsidP="000B356C">
            <w:pPr>
              <w:pStyle w:val="TableParagraph"/>
              <w:spacing w:before="0"/>
              <w:rPr>
                <w:bCs/>
              </w:rPr>
            </w:pPr>
            <w:r w:rsidRPr="000B356C">
              <w:rPr>
                <w:bCs/>
              </w:rPr>
              <w:t>R Young commended the Estates team for their positive work and acknowledged the efforts of all involved.</w:t>
            </w:r>
          </w:p>
          <w:p w14:paraId="6646CFF1" w14:textId="77777777" w:rsidR="00BE1F69" w:rsidRDefault="00BE1F69" w:rsidP="000B356C">
            <w:pPr>
              <w:pStyle w:val="TableParagraph"/>
              <w:spacing w:before="0"/>
              <w:rPr>
                <w:bCs/>
              </w:rPr>
            </w:pPr>
          </w:p>
          <w:p w14:paraId="6A345C53" w14:textId="0CD89D9E" w:rsidR="00BE1F69" w:rsidRDefault="00BE1F69" w:rsidP="00662185">
            <w:pPr>
              <w:pStyle w:val="TableParagraph"/>
              <w:spacing w:before="0"/>
              <w:rPr>
                <w:bCs/>
              </w:rPr>
            </w:pPr>
            <w:r>
              <w:rPr>
                <w:bCs/>
              </w:rPr>
              <w:t xml:space="preserve">B Lawrie thanked B Grace </w:t>
            </w:r>
            <w:r w:rsidR="00BB2003">
              <w:rPr>
                <w:bCs/>
              </w:rPr>
              <w:t xml:space="preserve">and the team </w:t>
            </w:r>
            <w:r>
              <w:rPr>
                <w:bCs/>
              </w:rPr>
              <w:t>for the update</w:t>
            </w:r>
            <w:r w:rsidR="00BB2003">
              <w:rPr>
                <w:bCs/>
              </w:rPr>
              <w:t xml:space="preserve"> and the considerable amount of work undertaken over the summer</w:t>
            </w:r>
            <w:r>
              <w:rPr>
                <w:bCs/>
              </w:rPr>
              <w:t xml:space="preserve">. </w:t>
            </w:r>
          </w:p>
          <w:p w14:paraId="2FAB19CA" w14:textId="77777777" w:rsidR="00BE1F69" w:rsidRPr="00147E3B" w:rsidRDefault="00BE1F69" w:rsidP="00D843DF">
            <w:pPr>
              <w:pStyle w:val="TableParagraph"/>
              <w:spacing w:before="0"/>
              <w:ind w:left="360"/>
              <w:rPr>
                <w:b/>
              </w:rPr>
            </w:pPr>
          </w:p>
        </w:tc>
      </w:tr>
      <w:tr w:rsidR="00BE1F69" w:rsidRPr="00147E3B" w14:paraId="0F044758" w14:textId="77777777" w:rsidTr="00CA4EAA">
        <w:trPr>
          <w:trHeight w:val="507"/>
        </w:trPr>
        <w:tc>
          <w:tcPr>
            <w:tcW w:w="567" w:type="dxa"/>
          </w:tcPr>
          <w:p w14:paraId="7327D019"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59674DA2" w14:textId="77777777" w:rsidR="00BE1F69" w:rsidRDefault="00BE1F69" w:rsidP="00D843DF">
            <w:pPr>
              <w:pStyle w:val="TableParagraph"/>
              <w:spacing w:before="0"/>
              <w:rPr>
                <w:b/>
              </w:rPr>
            </w:pPr>
            <w:r>
              <w:rPr>
                <w:b/>
              </w:rPr>
              <w:t>PROCUREMENT</w:t>
            </w:r>
          </w:p>
          <w:p w14:paraId="6B1A381C" w14:textId="77777777" w:rsidR="00BE1F69" w:rsidRPr="00147E3B" w:rsidRDefault="00BE1F69" w:rsidP="00D843DF">
            <w:pPr>
              <w:pStyle w:val="TableParagraph"/>
              <w:spacing w:before="0"/>
              <w:rPr>
                <w:b/>
              </w:rPr>
            </w:pPr>
          </w:p>
          <w:p w14:paraId="67E77877" w14:textId="77777777" w:rsidR="00BE1F69" w:rsidRPr="00FA65FC" w:rsidRDefault="00BE1F69" w:rsidP="00662185">
            <w:pPr>
              <w:pStyle w:val="ListParagraph"/>
              <w:numPr>
                <w:ilvl w:val="0"/>
                <w:numId w:val="2"/>
              </w:numPr>
              <w:contextualSpacing w:val="0"/>
              <w:rPr>
                <w:b/>
                <w:vanish/>
              </w:rPr>
            </w:pPr>
          </w:p>
          <w:p w14:paraId="36055575" w14:textId="77777777" w:rsidR="00BE1F69" w:rsidRPr="003236C2" w:rsidRDefault="00BE1F69" w:rsidP="00E858EB">
            <w:pPr>
              <w:pStyle w:val="TableParagraph"/>
              <w:numPr>
                <w:ilvl w:val="1"/>
                <w:numId w:val="2"/>
              </w:numPr>
              <w:spacing w:before="0"/>
              <w:ind w:left="431" w:hanging="431"/>
              <w:rPr>
                <w:b/>
              </w:rPr>
            </w:pPr>
            <w:r w:rsidRPr="003236C2">
              <w:rPr>
                <w:b/>
              </w:rPr>
              <w:t>Procurement Update</w:t>
            </w:r>
          </w:p>
          <w:p w14:paraId="652C2CD4" w14:textId="77777777" w:rsidR="00BE1F69" w:rsidRDefault="00BE1F69" w:rsidP="00662185">
            <w:pPr>
              <w:pStyle w:val="TableParagraph"/>
              <w:spacing w:before="0"/>
              <w:rPr>
                <w:bCs/>
              </w:rPr>
            </w:pPr>
          </w:p>
          <w:p w14:paraId="501E411A" w14:textId="77777777" w:rsidR="00BE1F69" w:rsidRDefault="00BE1F69" w:rsidP="006A697F">
            <w:pPr>
              <w:pStyle w:val="TableParagraph"/>
              <w:spacing w:before="0"/>
              <w:rPr>
                <w:bCs/>
              </w:rPr>
            </w:pPr>
            <w:r w:rsidRPr="006A697F">
              <w:rPr>
                <w:bCs/>
              </w:rPr>
              <w:t>N Anderson sought approval from the Committee for the Electric Vehicle Trainer for the Energy Skills Partnership. She further highlighted the need for approval of all potential and planned contractors for the 2025/26 financial year to ensure appropriate governance and timely commencement of work.</w:t>
            </w:r>
          </w:p>
          <w:p w14:paraId="27EA1B26" w14:textId="77777777" w:rsidR="00BE1F69" w:rsidRPr="006A697F" w:rsidRDefault="00BE1F69" w:rsidP="006A697F">
            <w:pPr>
              <w:pStyle w:val="TableParagraph"/>
              <w:spacing w:before="0"/>
              <w:rPr>
                <w:bCs/>
              </w:rPr>
            </w:pPr>
          </w:p>
          <w:p w14:paraId="3C20C239" w14:textId="77777777" w:rsidR="00AC3298" w:rsidRDefault="00BE1F69" w:rsidP="006A697F">
            <w:pPr>
              <w:pStyle w:val="TableParagraph"/>
              <w:spacing w:before="0"/>
              <w:rPr>
                <w:bCs/>
              </w:rPr>
            </w:pPr>
            <w:r w:rsidRPr="006A697F">
              <w:rPr>
                <w:bCs/>
              </w:rPr>
              <w:t xml:space="preserve">G Bell noted that, in comparison to the previous cycle in September 2024, a high number of contracts required approval and queried whether there was an opportunity to level out the </w:t>
            </w:r>
            <w:r w:rsidRPr="006A697F">
              <w:rPr>
                <w:bCs/>
              </w:rPr>
              <w:lastRenderedPageBreak/>
              <w:t>procurement process</w:t>
            </w:r>
            <w:r w:rsidR="00AC3298">
              <w:rPr>
                <w:bCs/>
              </w:rPr>
              <w:t xml:space="preserve"> across years</w:t>
            </w:r>
            <w:r w:rsidRPr="006A697F">
              <w:rPr>
                <w:bCs/>
              </w:rPr>
              <w:t xml:space="preserve">. </w:t>
            </w:r>
          </w:p>
          <w:p w14:paraId="33B469FF" w14:textId="76ACC7E6" w:rsidR="00BE1F69" w:rsidRDefault="00BE1F69" w:rsidP="006A697F">
            <w:pPr>
              <w:pStyle w:val="TableParagraph"/>
              <w:spacing w:before="0"/>
              <w:rPr>
                <w:bCs/>
              </w:rPr>
            </w:pPr>
            <w:r w:rsidRPr="006A697F">
              <w:rPr>
                <w:bCs/>
              </w:rPr>
              <w:t>N Anderson explained that the timing of contracts is largely dictated by their renewal dates. She stated that contracts are renewed by their expiry date and, where appropriate, extended for a year to help distribute workload more evenly over a four-year cycle. She noted</w:t>
            </w:r>
            <w:r>
              <w:rPr>
                <w:bCs/>
              </w:rPr>
              <w:t xml:space="preserve"> </w:t>
            </w:r>
            <w:r w:rsidRPr="006A697F">
              <w:rPr>
                <w:bCs/>
              </w:rPr>
              <w:t xml:space="preserve">that it </w:t>
            </w:r>
            <w:r w:rsidR="00980F1B">
              <w:rPr>
                <w:bCs/>
              </w:rPr>
              <w:t>can be</w:t>
            </w:r>
            <w:r w:rsidRPr="006A697F">
              <w:rPr>
                <w:bCs/>
              </w:rPr>
              <w:t xml:space="preserve"> challenging to make significant changes to contract timelines.</w:t>
            </w:r>
          </w:p>
          <w:p w14:paraId="6CCB1BE7" w14:textId="77777777" w:rsidR="00BE1F69" w:rsidRPr="006A697F" w:rsidRDefault="00BE1F69" w:rsidP="006A697F">
            <w:pPr>
              <w:pStyle w:val="TableParagraph"/>
              <w:spacing w:before="0"/>
              <w:rPr>
                <w:bCs/>
              </w:rPr>
            </w:pPr>
          </w:p>
          <w:p w14:paraId="2B533687" w14:textId="77777777" w:rsidR="00BE1F69" w:rsidRDefault="00BE1F69" w:rsidP="006A697F">
            <w:pPr>
              <w:pStyle w:val="TableParagraph"/>
              <w:spacing w:before="0"/>
              <w:rPr>
                <w:bCs/>
              </w:rPr>
            </w:pPr>
            <w:r w:rsidRPr="006A697F">
              <w:rPr>
                <w:bCs/>
              </w:rPr>
              <w:t>B Lawrie enquired whether entering into a longer-term non-life insurance contract would provide any benefits. N Anderson confirmed that a longer-term arrangement would indeed offer stability and efficiency.</w:t>
            </w:r>
          </w:p>
          <w:p w14:paraId="7E1AD8F8" w14:textId="77777777" w:rsidR="00BE1F69" w:rsidRPr="006A697F" w:rsidRDefault="00BE1F69" w:rsidP="006A697F">
            <w:pPr>
              <w:pStyle w:val="TableParagraph"/>
              <w:spacing w:before="0"/>
              <w:rPr>
                <w:bCs/>
              </w:rPr>
            </w:pPr>
          </w:p>
          <w:p w14:paraId="325F992F" w14:textId="0BE6B6EE" w:rsidR="00BE1F69" w:rsidRDefault="00BE1F69" w:rsidP="006A697F">
            <w:pPr>
              <w:pStyle w:val="TableParagraph"/>
              <w:spacing w:before="0"/>
              <w:rPr>
                <w:bCs/>
              </w:rPr>
            </w:pPr>
            <w:r w:rsidRPr="006A697F">
              <w:rPr>
                <w:bCs/>
              </w:rPr>
              <w:t xml:space="preserve">R Young </w:t>
            </w:r>
            <w:r w:rsidR="00980F1B">
              <w:rPr>
                <w:bCs/>
              </w:rPr>
              <w:t xml:space="preserve">asked about the </w:t>
            </w:r>
            <w:r w:rsidR="009E6082">
              <w:rPr>
                <w:bCs/>
              </w:rPr>
              <w:t>non-competitive</w:t>
            </w:r>
            <w:r w:rsidR="00980F1B">
              <w:rPr>
                <w:bCs/>
              </w:rPr>
              <w:t xml:space="preserve"> </w:t>
            </w:r>
            <w:r w:rsidR="00DA1A24">
              <w:rPr>
                <w:bCs/>
              </w:rPr>
              <w:t xml:space="preserve">procurement items and the </w:t>
            </w:r>
            <w:r w:rsidRPr="006A697F">
              <w:rPr>
                <w:bCs/>
              </w:rPr>
              <w:t xml:space="preserve">level of scrutiny </w:t>
            </w:r>
            <w:r w:rsidR="00DA1A24">
              <w:rPr>
                <w:bCs/>
              </w:rPr>
              <w:t>these could receive</w:t>
            </w:r>
            <w:r w:rsidRPr="006A697F">
              <w:rPr>
                <w:bCs/>
              </w:rPr>
              <w:t xml:space="preserve">. N Anderson clarified that all contracts are subject to rigorous appraisal in line with Scottish Funding Council requirements, which provides a higher level of scrutiny than would typically be applied at a </w:t>
            </w:r>
            <w:r w:rsidR="009E6082">
              <w:rPr>
                <w:bCs/>
              </w:rPr>
              <w:t>typical procurement exercise.  This reassurance was welcomed.</w:t>
            </w:r>
          </w:p>
          <w:p w14:paraId="0B39E9A3" w14:textId="77777777" w:rsidR="00BE1F69" w:rsidRPr="006A697F" w:rsidRDefault="00BE1F69" w:rsidP="006A697F">
            <w:pPr>
              <w:pStyle w:val="TableParagraph"/>
              <w:spacing w:before="0"/>
              <w:rPr>
                <w:bCs/>
              </w:rPr>
            </w:pPr>
          </w:p>
          <w:p w14:paraId="10A825D8" w14:textId="6CD3006A" w:rsidR="00BE1F69" w:rsidRDefault="00BE1F69" w:rsidP="00662185">
            <w:pPr>
              <w:pStyle w:val="TableParagraph"/>
              <w:spacing w:before="0"/>
              <w:rPr>
                <w:bCs/>
              </w:rPr>
            </w:pPr>
            <w:r w:rsidRPr="006A697F">
              <w:rPr>
                <w:bCs/>
              </w:rPr>
              <w:t>Following discussion, the Committee approved all proposed actions and recommendations.</w:t>
            </w:r>
            <w:r w:rsidR="009E6082">
              <w:rPr>
                <w:bCs/>
              </w:rPr>
              <w:t xml:space="preserve"> </w:t>
            </w:r>
            <w:r w:rsidR="009E6082" w:rsidRPr="009E6082">
              <w:rPr>
                <w:b/>
              </w:rPr>
              <w:t>N Anderson to progress.</w:t>
            </w:r>
          </w:p>
          <w:p w14:paraId="05AC3662" w14:textId="77777777" w:rsidR="00BE1F69" w:rsidRPr="00147E3B" w:rsidRDefault="00BE1F69" w:rsidP="00D843DF">
            <w:pPr>
              <w:pStyle w:val="TableParagraph"/>
              <w:spacing w:before="0"/>
              <w:rPr>
                <w:b/>
              </w:rPr>
            </w:pPr>
          </w:p>
        </w:tc>
      </w:tr>
      <w:tr w:rsidR="00BE1F69" w:rsidRPr="00147E3B" w14:paraId="37670418" w14:textId="77777777" w:rsidTr="00CA4EAA">
        <w:trPr>
          <w:trHeight w:val="505"/>
        </w:trPr>
        <w:tc>
          <w:tcPr>
            <w:tcW w:w="567" w:type="dxa"/>
          </w:tcPr>
          <w:p w14:paraId="3231A90D"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362F2666" w14:textId="77777777" w:rsidR="00BE1F69" w:rsidRPr="00147E3B" w:rsidRDefault="00BE1F69" w:rsidP="00D843DF">
            <w:pPr>
              <w:pStyle w:val="TableParagraph"/>
              <w:spacing w:before="0"/>
              <w:rPr>
                <w:b/>
              </w:rPr>
            </w:pPr>
            <w:r w:rsidRPr="00147E3B">
              <w:rPr>
                <w:b/>
              </w:rPr>
              <w:t>STRATEGIC RISK REGISTER</w:t>
            </w:r>
          </w:p>
          <w:p w14:paraId="49E0E641" w14:textId="77777777" w:rsidR="00BE1F69" w:rsidRPr="00147E3B" w:rsidRDefault="00BE1F69" w:rsidP="00D843DF">
            <w:pPr>
              <w:pStyle w:val="TableParagraph"/>
              <w:spacing w:before="0"/>
              <w:rPr>
                <w:b/>
              </w:rPr>
            </w:pPr>
          </w:p>
          <w:p w14:paraId="53EE253A" w14:textId="77777777" w:rsidR="00BE1F69" w:rsidRPr="00147E3B" w:rsidRDefault="00BE1F69" w:rsidP="00662185">
            <w:pPr>
              <w:pStyle w:val="ListParagraph"/>
              <w:numPr>
                <w:ilvl w:val="0"/>
                <w:numId w:val="2"/>
              </w:numPr>
              <w:contextualSpacing w:val="0"/>
              <w:rPr>
                <w:b/>
                <w:vanish/>
                <w:lang w:eastAsia="en-US"/>
              </w:rPr>
            </w:pPr>
          </w:p>
          <w:p w14:paraId="72170533" w14:textId="77777777" w:rsidR="00BE1F69" w:rsidRPr="00147E3B" w:rsidRDefault="00BE1F69" w:rsidP="00662185">
            <w:pPr>
              <w:pStyle w:val="ListParagraph"/>
              <w:numPr>
                <w:ilvl w:val="0"/>
                <w:numId w:val="2"/>
              </w:numPr>
              <w:contextualSpacing w:val="0"/>
              <w:rPr>
                <w:b/>
                <w:vanish/>
                <w:lang w:eastAsia="en-US"/>
              </w:rPr>
            </w:pPr>
          </w:p>
          <w:p w14:paraId="5DC41D0E" w14:textId="4FC5586E" w:rsidR="00BE1F69" w:rsidRPr="001006B6" w:rsidRDefault="00BE1F69" w:rsidP="00ED5D51">
            <w:pPr>
              <w:pStyle w:val="TableParagraph"/>
              <w:spacing w:before="0"/>
              <w:rPr>
                <w:bCs/>
              </w:rPr>
            </w:pPr>
            <w:r w:rsidRPr="00ED5D51">
              <w:rPr>
                <w:bCs/>
              </w:rPr>
              <w:t>S Taylor reported that there were no changes to the risk registe</w:t>
            </w:r>
            <w:r w:rsidRPr="001006B6">
              <w:rPr>
                <w:bCs/>
              </w:rPr>
              <w:t>r</w:t>
            </w:r>
            <w:r w:rsidRPr="00ED5D51">
              <w:rPr>
                <w:bCs/>
              </w:rPr>
              <w:t>. He noted that the financial security risk continues to be monitored closely and is presented to the Audit &amp; Risk Committee for discussion at each meeting.</w:t>
            </w:r>
          </w:p>
          <w:p w14:paraId="5832160E" w14:textId="77777777" w:rsidR="00BE1F69" w:rsidRPr="00ED5D51" w:rsidRDefault="00BE1F69" w:rsidP="00ED5D51">
            <w:pPr>
              <w:pStyle w:val="TableParagraph"/>
              <w:spacing w:before="0"/>
              <w:rPr>
                <w:b/>
              </w:rPr>
            </w:pPr>
          </w:p>
          <w:p w14:paraId="3377FE90" w14:textId="1E52D09C" w:rsidR="00BE1F69" w:rsidRDefault="00BE1F69" w:rsidP="00ED5D51">
            <w:pPr>
              <w:pStyle w:val="TableParagraph"/>
              <w:spacing w:before="0"/>
              <w:rPr>
                <w:b/>
              </w:rPr>
            </w:pPr>
            <w:r w:rsidRPr="00ED5D51">
              <w:rPr>
                <w:bCs/>
              </w:rPr>
              <w:t xml:space="preserve">K Marsh highlighted the risk associated with the political period around elections and suggested that the wording be revised to reflect political </w:t>
            </w:r>
            <w:r w:rsidR="009E6082">
              <w:rPr>
                <w:bCs/>
              </w:rPr>
              <w:t>impact</w:t>
            </w:r>
            <w:r w:rsidRPr="00ED5D51">
              <w:rPr>
                <w:bCs/>
              </w:rPr>
              <w:t xml:space="preserve"> more broadly, rather than focusing solely on the Scottish Government.</w:t>
            </w:r>
            <w:r w:rsidR="00185701">
              <w:rPr>
                <w:bCs/>
              </w:rPr>
              <w:t xml:space="preserve"> This would be progressed to the Audit &amp; Risk Committee for consideration and approval. </w:t>
            </w:r>
            <w:r w:rsidRPr="00ED5D51">
              <w:rPr>
                <w:b/>
              </w:rPr>
              <w:t>S Taylor to progress</w:t>
            </w:r>
            <w:r w:rsidR="00185701">
              <w:rPr>
                <w:b/>
              </w:rPr>
              <w:t>.</w:t>
            </w:r>
          </w:p>
          <w:p w14:paraId="2B75C81D" w14:textId="77777777" w:rsidR="00BE1F69" w:rsidRPr="00147E3B" w:rsidRDefault="00BE1F69" w:rsidP="00185701">
            <w:pPr>
              <w:pStyle w:val="TableParagraph"/>
              <w:spacing w:before="0"/>
              <w:rPr>
                <w:b/>
              </w:rPr>
            </w:pPr>
          </w:p>
        </w:tc>
      </w:tr>
      <w:tr w:rsidR="00BE1F69" w:rsidRPr="00147E3B" w14:paraId="1B29D91E" w14:textId="77777777" w:rsidTr="00CA4EAA">
        <w:trPr>
          <w:trHeight w:val="505"/>
        </w:trPr>
        <w:tc>
          <w:tcPr>
            <w:tcW w:w="567" w:type="dxa"/>
          </w:tcPr>
          <w:p w14:paraId="0614DE2B" w14:textId="77777777" w:rsidR="00BE1F69" w:rsidRPr="00147E3B" w:rsidRDefault="00BE1F69" w:rsidP="00662185">
            <w:pPr>
              <w:pStyle w:val="TableParagraph"/>
              <w:numPr>
                <w:ilvl w:val="0"/>
                <w:numId w:val="1"/>
              </w:numPr>
              <w:spacing w:before="0"/>
              <w:ind w:left="0" w:firstLine="0"/>
              <w:jc w:val="center"/>
              <w:rPr>
                <w:b/>
              </w:rPr>
            </w:pPr>
          </w:p>
        </w:tc>
        <w:tc>
          <w:tcPr>
            <w:tcW w:w="9356" w:type="dxa"/>
          </w:tcPr>
          <w:p w14:paraId="45D9CE82" w14:textId="77777777" w:rsidR="00BE1F69" w:rsidRDefault="00BE1F69" w:rsidP="00D843DF">
            <w:pPr>
              <w:pStyle w:val="TableParagraph"/>
              <w:spacing w:before="0"/>
              <w:rPr>
                <w:b/>
              </w:rPr>
            </w:pPr>
            <w:r>
              <w:rPr>
                <w:b/>
              </w:rPr>
              <w:t>SUPPORT SERVICES REPORT</w:t>
            </w:r>
          </w:p>
          <w:p w14:paraId="1BBE233E" w14:textId="77777777" w:rsidR="00BE1F69" w:rsidRDefault="00BE1F69" w:rsidP="00D843DF">
            <w:pPr>
              <w:pStyle w:val="TableParagraph"/>
              <w:spacing w:before="0"/>
              <w:rPr>
                <w:b/>
              </w:rPr>
            </w:pPr>
          </w:p>
          <w:p w14:paraId="11546AA7" w14:textId="77777777" w:rsidR="00BE1F69" w:rsidRPr="00701D3B" w:rsidRDefault="00BE1F69" w:rsidP="00701D3B">
            <w:pPr>
              <w:pStyle w:val="TableParagraph"/>
              <w:spacing w:before="0"/>
              <w:rPr>
                <w:bCs/>
              </w:rPr>
            </w:pPr>
            <w:r w:rsidRPr="00701D3B">
              <w:rPr>
                <w:bCs/>
              </w:rPr>
              <w:t>N Anderson presented the report for noting.</w:t>
            </w:r>
          </w:p>
          <w:p w14:paraId="50BD401D" w14:textId="77777777" w:rsidR="00BE1F69" w:rsidRPr="00701D3B" w:rsidRDefault="00BE1F69" w:rsidP="00701D3B">
            <w:pPr>
              <w:pStyle w:val="TableParagraph"/>
              <w:spacing w:before="0"/>
              <w:rPr>
                <w:bCs/>
              </w:rPr>
            </w:pPr>
          </w:p>
          <w:p w14:paraId="40EDF042" w14:textId="18198089" w:rsidR="00BE1F69" w:rsidRDefault="00BE1F69" w:rsidP="00D843DF">
            <w:pPr>
              <w:pStyle w:val="TableParagraph"/>
              <w:spacing w:before="0"/>
              <w:rPr>
                <w:b/>
              </w:rPr>
            </w:pPr>
            <w:r w:rsidRPr="00701D3B">
              <w:rPr>
                <w:bCs/>
              </w:rPr>
              <w:t>The Committee noted the report.</w:t>
            </w:r>
          </w:p>
          <w:p w14:paraId="699BDC1A" w14:textId="77777777" w:rsidR="00BE1F69" w:rsidRPr="00147E3B" w:rsidRDefault="00BE1F69" w:rsidP="00D843DF">
            <w:pPr>
              <w:pStyle w:val="TableParagraph"/>
              <w:spacing w:before="0"/>
              <w:rPr>
                <w:b/>
              </w:rPr>
            </w:pPr>
          </w:p>
        </w:tc>
      </w:tr>
      <w:tr w:rsidR="00DA3B50" w:rsidRPr="00147E3B" w14:paraId="68F3F4CC" w14:textId="77777777" w:rsidTr="00CA4EAA">
        <w:trPr>
          <w:trHeight w:val="505"/>
        </w:trPr>
        <w:tc>
          <w:tcPr>
            <w:tcW w:w="567" w:type="dxa"/>
          </w:tcPr>
          <w:p w14:paraId="2C0097C5" w14:textId="77777777" w:rsidR="00DA3B50" w:rsidRPr="00147E3B" w:rsidRDefault="00DA3B50" w:rsidP="00662185">
            <w:pPr>
              <w:pStyle w:val="TableParagraph"/>
              <w:numPr>
                <w:ilvl w:val="0"/>
                <w:numId w:val="1"/>
              </w:numPr>
              <w:spacing w:before="0"/>
              <w:ind w:left="0" w:firstLine="0"/>
              <w:jc w:val="center"/>
              <w:rPr>
                <w:b/>
              </w:rPr>
            </w:pPr>
          </w:p>
        </w:tc>
        <w:tc>
          <w:tcPr>
            <w:tcW w:w="9356" w:type="dxa"/>
          </w:tcPr>
          <w:p w14:paraId="314990FC" w14:textId="77777777" w:rsidR="00DA3B50" w:rsidRDefault="00DA3B50" w:rsidP="00D843DF">
            <w:pPr>
              <w:pStyle w:val="TableParagraph"/>
              <w:spacing w:before="0"/>
              <w:rPr>
                <w:b/>
              </w:rPr>
            </w:pPr>
            <w:r>
              <w:rPr>
                <w:b/>
              </w:rPr>
              <w:t>DATE OF NEXT MEETING</w:t>
            </w:r>
          </w:p>
          <w:p w14:paraId="6D49F566" w14:textId="77777777" w:rsidR="00DA3B50" w:rsidRDefault="00DA3B50" w:rsidP="00D843DF">
            <w:pPr>
              <w:pStyle w:val="TableParagraph"/>
              <w:spacing w:before="0"/>
              <w:rPr>
                <w:b/>
              </w:rPr>
            </w:pPr>
          </w:p>
          <w:p w14:paraId="2DCB3D1B" w14:textId="661A7EDB" w:rsidR="00DA3B50" w:rsidRPr="00DA3B50" w:rsidRDefault="00DA3B50" w:rsidP="00D843DF">
            <w:pPr>
              <w:pStyle w:val="TableParagraph"/>
              <w:spacing w:before="0"/>
              <w:rPr>
                <w:bCs/>
              </w:rPr>
            </w:pPr>
            <w:r>
              <w:rPr>
                <w:bCs/>
              </w:rPr>
              <w:t xml:space="preserve">Tuesday </w:t>
            </w:r>
            <w:r w:rsidR="00B33A2A">
              <w:rPr>
                <w:bCs/>
              </w:rPr>
              <w:t>2</w:t>
            </w:r>
            <w:r>
              <w:rPr>
                <w:bCs/>
              </w:rPr>
              <w:t xml:space="preserve"> December 2025</w:t>
            </w:r>
            <w:r w:rsidR="00B33A2A">
              <w:rPr>
                <w:bCs/>
              </w:rPr>
              <w:t xml:space="preserve"> at 4.30pm (Joint Meeting with Audit &amp; Risk Committee)</w:t>
            </w:r>
          </w:p>
        </w:tc>
      </w:tr>
    </w:tbl>
    <w:p w14:paraId="33CAE301" w14:textId="77777777" w:rsidR="00662185" w:rsidRPr="00B33A2A" w:rsidRDefault="00662185" w:rsidP="00B33A2A">
      <w:pPr>
        <w:pStyle w:val="Heading1"/>
        <w:spacing w:before="0" w:after="0"/>
        <w:rPr>
          <w:rFonts w:ascii="Arial" w:hAnsi="Arial" w:cs="Arial"/>
          <w:sz w:val="22"/>
          <w:szCs w:val="22"/>
        </w:rPr>
      </w:pPr>
    </w:p>
    <w:tbl>
      <w:tblPr>
        <w:tblpPr w:leftFromText="180" w:rightFromText="180" w:vertAnchor="text" w:tblpY="11"/>
        <w:tblW w:w="10065" w:type="dxa"/>
        <w:tblLayout w:type="fixed"/>
        <w:tblCellMar>
          <w:left w:w="0" w:type="dxa"/>
          <w:right w:w="0" w:type="dxa"/>
        </w:tblCellMar>
        <w:tblLook w:val="01E0" w:firstRow="1" w:lastRow="1" w:firstColumn="1" w:lastColumn="1" w:noHBand="0" w:noVBand="0"/>
      </w:tblPr>
      <w:tblGrid>
        <w:gridCol w:w="5954"/>
        <w:gridCol w:w="1843"/>
        <w:gridCol w:w="2268"/>
      </w:tblGrid>
      <w:tr w:rsidR="00F869B0" w:rsidRPr="00D43501" w14:paraId="792C36A7" w14:textId="77777777" w:rsidTr="001833FB">
        <w:trPr>
          <w:trHeight w:val="310"/>
        </w:trPr>
        <w:tc>
          <w:tcPr>
            <w:tcW w:w="5954" w:type="dxa"/>
          </w:tcPr>
          <w:p w14:paraId="3D7E5CAB" w14:textId="77777777" w:rsidR="00F869B0" w:rsidRPr="00D43501" w:rsidRDefault="00F869B0" w:rsidP="00C10DF4">
            <w:pPr>
              <w:pStyle w:val="TableParagraph"/>
              <w:rPr>
                <w:b/>
              </w:rPr>
            </w:pPr>
            <w:r w:rsidRPr="00D43501">
              <w:rPr>
                <w:b/>
                <w:u w:val="thick"/>
              </w:rPr>
              <w:t>Action Point Summary</w:t>
            </w:r>
          </w:p>
        </w:tc>
        <w:tc>
          <w:tcPr>
            <w:tcW w:w="1843" w:type="dxa"/>
          </w:tcPr>
          <w:p w14:paraId="33B5F28D" w14:textId="77777777" w:rsidR="00F869B0" w:rsidRPr="00D43501" w:rsidRDefault="00F869B0" w:rsidP="00C10DF4">
            <w:pPr>
              <w:pStyle w:val="TableParagraph"/>
              <w:rPr>
                <w:rFonts w:ascii="Times New Roman"/>
              </w:rPr>
            </w:pPr>
          </w:p>
        </w:tc>
        <w:tc>
          <w:tcPr>
            <w:tcW w:w="2268" w:type="dxa"/>
          </w:tcPr>
          <w:p w14:paraId="6626CA4F" w14:textId="77777777" w:rsidR="00F869B0" w:rsidRPr="00D43501" w:rsidRDefault="00F869B0" w:rsidP="00C10DF4">
            <w:pPr>
              <w:pStyle w:val="TableParagraph"/>
              <w:rPr>
                <w:rFonts w:ascii="Times New Roman"/>
              </w:rPr>
            </w:pPr>
          </w:p>
        </w:tc>
      </w:tr>
      <w:tr w:rsidR="00F869B0" w:rsidRPr="00D43501" w14:paraId="49DA7738" w14:textId="77777777" w:rsidTr="001833FB">
        <w:trPr>
          <w:trHeight w:val="374"/>
        </w:trPr>
        <w:tc>
          <w:tcPr>
            <w:tcW w:w="5954" w:type="dxa"/>
          </w:tcPr>
          <w:p w14:paraId="30398B79" w14:textId="77777777" w:rsidR="00F869B0" w:rsidRPr="00D43501" w:rsidRDefault="00F869B0" w:rsidP="00C10DF4">
            <w:pPr>
              <w:pStyle w:val="TableParagraph"/>
              <w:jc w:val="center"/>
              <w:rPr>
                <w:b/>
              </w:rPr>
            </w:pPr>
            <w:r w:rsidRPr="00D43501">
              <w:rPr>
                <w:b/>
              </w:rPr>
              <w:t>Action</w:t>
            </w:r>
          </w:p>
        </w:tc>
        <w:tc>
          <w:tcPr>
            <w:tcW w:w="1843" w:type="dxa"/>
          </w:tcPr>
          <w:p w14:paraId="2AA85C87" w14:textId="77777777" w:rsidR="00F869B0" w:rsidRPr="00D43501" w:rsidRDefault="00F869B0" w:rsidP="00C10DF4">
            <w:pPr>
              <w:pStyle w:val="TableParagraph"/>
              <w:jc w:val="center"/>
              <w:rPr>
                <w:b/>
              </w:rPr>
            </w:pPr>
            <w:r w:rsidRPr="00D43501">
              <w:rPr>
                <w:b/>
              </w:rPr>
              <w:t>Responsibility</w:t>
            </w:r>
          </w:p>
        </w:tc>
        <w:tc>
          <w:tcPr>
            <w:tcW w:w="2268" w:type="dxa"/>
          </w:tcPr>
          <w:p w14:paraId="17F26A08" w14:textId="77777777" w:rsidR="00F869B0" w:rsidRPr="00D43501" w:rsidRDefault="00F869B0" w:rsidP="00C10DF4">
            <w:pPr>
              <w:pStyle w:val="TableParagraph"/>
              <w:jc w:val="center"/>
              <w:rPr>
                <w:b/>
              </w:rPr>
            </w:pPr>
            <w:r w:rsidRPr="00D43501">
              <w:rPr>
                <w:b/>
              </w:rPr>
              <w:t>Date</w:t>
            </w:r>
          </w:p>
        </w:tc>
      </w:tr>
      <w:tr w:rsidR="00F869B0" w:rsidRPr="00D43501" w14:paraId="594987C4" w14:textId="77777777" w:rsidTr="001833FB">
        <w:trPr>
          <w:trHeight w:val="374"/>
        </w:trPr>
        <w:tc>
          <w:tcPr>
            <w:tcW w:w="5954" w:type="dxa"/>
          </w:tcPr>
          <w:p w14:paraId="5D1C6FAA" w14:textId="2BB3676D" w:rsidR="00F869B0" w:rsidRPr="00592F9F" w:rsidRDefault="006906EE" w:rsidP="00C10DF4">
            <w:pPr>
              <w:pStyle w:val="TableParagraph"/>
              <w:rPr>
                <w:bCs/>
              </w:rPr>
            </w:pPr>
            <w:r>
              <w:rPr>
                <w:bCs/>
              </w:rPr>
              <w:t>Draft 2025/26 budget to be progressed to the Board for approval.</w:t>
            </w:r>
          </w:p>
        </w:tc>
        <w:tc>
          <w:tcPr>
            <w:tcW w:w="1843" w:type="dxa"/>
          </w:tcPr>
          <w:p w14:paraId="26F4C22C" w14:textId="5CA9535D" w:rsidR="00F869B0" w:rsidRPr="00592F9F" w:rsidRDefault="001C0CF3" w:rsidP="00C10DF4">
            <w:pPr>
              <w:pStyle w:val="TableParagraph"/>
              <w:rPr>
                <w:bCs/>
              </w:rPr>
            </w:pPr>
            <w:r>
              <w:rPr>
                <w:bCs/>
              </w:rPr>
              <w:t xml:space="preserve"> </w:t>
            </w:r>
            <w:r w:rsidR="006906EE">
              <w:rPr>
                <w:bCs/>
              </w:rPr>
              <w:t>N Anderson</w:t>
            </w:r>
          </w:p>
        </w:tc>
        <w:tc>
          <w:tcPr>
            <w:tcW w:w="2268" w:type="dxa"/>
          </w:tcPr>
          <w:p w14:paraId="16C9DDAA" w14:textId="3CFEDCD9" w:rsidR="00F869B0" w:rsidRPr="00592F9F" w:rsidRDefault="006906EE" w:rsidP="00C10DF4">
            <w:pPr>
              <w:pStyle w:val="TableParagraph"/>
              <w:jc w:val="center"/>
              <w:rPr>
                <w:bCs/>
              </w:rPr>
            </w:pPr>
            <w:r>
              <w:rPr>
                <w:bCs/>
              </w:rPr>
              <w:t>30 September</w:t>
            </w:r>
            <w:r w:rsidR="00704BD3">
              <w:rPr>
                <w:bCs/>
              </w:rPr>
              <w:t xml:space="preserve"> 2025</w:t>
            </w:r>
          </w:p>
        </w:tc>
      </w:tr>
      <w:tr w:rsidR="006906EE" w:rsidRPr="00D43501" w14:paraId="78F56D54" w14:textId="77777777" w:rsidTr="001833FB">
        <w:trPr>
          <w:trHeight w:val="374"/>
        </w:trPr>
        <w:tc>
          <w:tcPr>
            <w:tcW w:w="5954" w:type="dxa"/>
          </w:tcPr>
          <w:p w14:paraId="71D5E427" w14:textId="55951A6B" w:rsidR="006906EE" w:rsidRDefault="005F5E59" w:rsidP="00C10DF4">
            <w:pPr>
              <w:pStyle w:val="TableParagraph"/>
              <w:rPr>
                <w:bCs/>
              </w:rPr>
            </w:pPr>
            <w:r>
              <w:rPr>
                <w:bCs/>
              </w:rPr>
              <w:t>Progress approved procurement contracts &amp; arrangements</w:t>
            </w:r>
          </w:p>
        </w:tc>
        <w:tc>
          <w:tcPr>
            <w:tcW w:w="1843" w:type="dxa"/>
          </w:tcPr>
          <w:p w14:paraId="359EA793" w14:textId="63B362AD" w:rsidR="006906EE" w:rsidRDefault="005F5E59" w:rsidP="00C10DF4">
            <w:pPr>
              <w:pStyle w:val="TableParagraph"/>
              <w:rPr>
                <w:bCs/>
              </w:rPr>
            </w:pPr>
            <w:r>
              <w:rPr>
                <w:bCs/>
              </w:rPr>
              <w:t>N Anderson</w:t>
            </w:r>
          </w:p>
        </w:tc>
        <w:tc>
          <w:tcPr>
            <w:tcW w:w="2268" w:type="dxa"/>
          </w:tcPr>
          <w:p w14:paraId="228F928A" w14:textId="18CB6467" w:rsidR="006906EE" w:rsidRDefault="005F5E59" w:rsidP="00C10DF4">
            <w:pPr>
              <w:pStyle w:val="TableParagraph"/>
              <w:jc w:val="center"/>
              <w:rPr>
                <w:bCs/>
              </w:rPr>
            </w:pPr>
            <w:r>
              <w:rPr>
                <w:bCs/>
              </w:rPr>
              <w:t>2 December 2025</w:t>
            </w:r>
          </w:p>
        </w:tc>
      </w:tr>
      <w:tr w:rsidR="004B79F2" w:rsidRPr="00D43501" w14:paraId="493E7768" w14:textId="77777777" w:rsidTr="001833FB">
        <w:trPr>
          <w:trHeight w:val="374"/>
        </w:trPr>
        <w:tc>
          <w:tcPr>
            <w:tcW w:w="5954" w:type="dxa"/>
          </w:tcPr>
          <w:p w14:paraId="131E1DCE" w14:textId="0B5DEE74" w:rsidR="004B79F2" w:rsidRDefault="001833FB" w:rsidP="00C10DF4">
            <w:pPr>
              <w:pStyle w:val="TableParagraph"/>
              <w:rPr>
                <w:bCs/>
              </w:rPr>
            </w:pPr>
            <w:r>
              <w:rPr>
                <w:bCs/>
              </w:rPr>
              <w:t>To</w:t>
            </w:r>
            <w:r w:rsidRPr="001833FB">
              <w:rPr>
                <w:bCs/>
              </w:rPr>
              <w:t xml:space="preserve"> </w:t>
            </w:r>
            <w:r w:rsidR="00AB7926">
              <w:rPr>
                <w:bCs/>
              </w:rPr>
              <w:t xml:space="preserve">propose revision to </w:t>
            </w:r>
            <w:r w:rsidRPr="001833FB">
              <w:rPr>
                <w:bCs/>
              </w:rPr>
              <w:t xml:space="preserve">political </w:t>
            </w:r>
            <w:r w:rsidR="00AB7926">
              <w:rPr>
                <w:bCs/>
              </w:rPr>
              <w:t>engagement</w:t>
            </w:r>
            <w:r w:rsidR="00735E6B">
              <w:rPr>
                <w:bCs/>
              </w:rPr>
              <w:t xml:space="preserve"> wording within the Strategic Risk Register to Audit &amp; Risk Committee</w:t>
            </w:r>
          </w:p>
        </w:tc>
        <w:tc>
          <w:tcPr>
            <w:tcW w:w="1843" w:type="dxa"/>
          </w:tcPr>
          <w:p w14:paraId="056A1D90" w14:textId="0066E483" w:rsidR="004B79F2" w:rsidRDefault="001833FB" w:rsidP="00C10DF4">
            <w:pPr>
              <w:pStyle w:val="TableParagraph"/>
              <w:rPr>
                <w:bCs/>
              </w:rPr>
            </w:pPr>
            <w:r>
              <w:rPr>
                <w:bCs/>
              </w:rPr>
              <w:t xml:space="preserve"> S Taylor</w:t>
            </w:r>
          </w:p>
        </w:tc>
        <w:tc>
          <w:tcPr>
            <w:tcW w:w="2268" w:type="dxa"/>
          </w:tcPr>
          <w:p w14:paraId="52FCD9DB" w14:textId="08EBAAC9" w:rsidR="004B79F2" w:rsidRDefault="00735E6B" w:rsidP="00C10DF4">
            <w:pPr>
              <w:pStyle w:val="TableParagraph"/>
              <w:jc w:val="center"/>
              <w:rPr>
                <w:bCs/>
              </w:rPr>
            </w:pPr>
            <w:r>
              <w:rPr>
                <w:bCs/>
              </w:rPr>
              <w:t>16 September</w:t>
            </w:r>
            <w:r w:rsidR="001833FB">
              <w:rPr>
                <w:bCs/>
              </w:rPr>
              <w:t xml:space="preserve"> 2025</w:t>
            </w:r>
          </w:p>
        </w:tc>
      </w:tr>
    </w:tbl>
    <w:p w14:paraId="3A612C38" w14:textId="77777777" w:rsidR="00ED7A2C" w:rsidRDefault="00ED7A2C"/>
    <w:sectPr w:rsidR="00ED7A2C" w:rsidSect="00CA4EAA">
      <w:footerReference w:type="default" r:id="rId11"/>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4120" w14:textId="77777777" w:rsidR="00E811FF" w:rsidRDefault="00E811FF">
      <w:r>
        <w:separator/>
      </w:r>
    </w:p>
  </w:endnote>
  <w:endnote w:type="continuationSeparator" w:id="0">
    <w:p w14:paraId="341E0253" w14:textId="77777777" w:rsidR="00E811FF" w:rsidRDefault="00E8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90575"/>
      <w:docPartObj>
        <w:docPartGallery w:val="Page Numbers (Bottom of Page)"/>
        <w:docPartUnique/>
      </w:docPartObj>
    </w:sdtPr>
    <w:sdtEndPr/>
    <w:sdtContent>
      <w:sdt>
        <w:sdtPr>
          <w:id w:val="-1769616900"/>
          <w:docPartObj>
            <w:docPartGallery w:val="Page Numbers (Top of Page)"/>
            <w:docPartUnique/>
          </w:docPartObj>
        </w:sdtPr>
        <w:sdtEndPr/>
        <w:sdtContent>
          <w:p w14:paraId="0D5DF837" w14:textId="6B77C79D" w:rsidR="00061B24" w:rsidRDefault="00061B24">
            <w:pPr>
              <w:pStyle w:val="Footer"/>
              <w:jc w:val="right"/>
            </w:pPr>
            <w:r w:rsidRPr="00061B24">
              <w:rPr>
                <w:sz w:val="20"/>
                <w:szCs w:val="20"/>
              </w:rPr>
              <w:t xml:space="preserve">Page </w:t>
            </w:r>
            <w:r w:rsidRPr="00061B24">
              <w:rPr>
                <w:sz w:val="20"/>
                <w:szCs w:val="20"/>
              </w:rPr>
              <w:fldChar w:fldCharType="begin"/>
            </w:r>
            <w:r w:rsidRPr="00061B24">
              <w:rPr>
                <w:sz w:val="20"/>
                <w:szCs w:val="20"/>
              </w:rPr>
              <w:instrText xml:space="preserve"> PAGE </w:instrText>
            </w:r>
            <w:r w:rsidRPr="00061B24">
              <w:rPr>
                <w:sz w:val="20"/>
                <w:szCs w:val="20"/>
              </w:rPr>
              <w:fldChar w:fldCharType="separate"/>
            </w:r>
            <w:r w:rsidRPr="00061B24">
              <w:rPr>
                <w:noProof/>
                <w:sz w:val="20"/>
                <w:szCs w:val="20"/>
              </w:rPr>
              <w:t>2</w:t>
            </w:r>
            <w:r w:rsidRPr="00061B24">
              <w:rPr>
                <w:sz w:val="20"/>
                <w:szCs w:val="20"/>
              </w:rPr>
              <w:fldChar w:fldCharType="end"/>
            </w:r>
            <w:r w:rsidRPr="00061B24">
              <w:rPr>
                <w:sz w:val="20"/>
                <w:szCs w:val="20"/>
              </w:rPr>
              <w:t xml:space="preserve"> of </w:t>
            </w:r>
            <w:r w:rsidRPr="00061B24">
              <w:rPr>
                <w:sz w:val="20"/>
                <w:szCs w:val="20"/>
              </w:rPr>
              <w:fldChar w:fldCharType="begin"/>
            </w:r>
            <w:r w:rsidRPr="00061B24">
              <w:rPr>
                <w:sz w:val="20"/>
                <w:szCs w:val="20"/>
              </w:rPr>
              <w:instrText xml:space="preserve"> NUMPAGES  </w:instrText>
            </w:r>
            <w:r w:rsidRPr="00061B24">
              <w:rPr>
                <w:sz w:val="20"/>
                <w:szCs w:val="20"/>
              </w:rPr>
              <w:fldChar w:fldCharType="separate"/>
            </w:r>
            <w:r w:rsidRPr="00061B24">
              <w:rPr>
                <w:noProof/>
                <w:sz w:val="20"/>
                <w:szCs w:val="20"/>
              </w:rPr>
              <w:t>2</w:t>
            </w:r>
            <w:r w:rsidRPr="00061B24">
              <w:rPr>
                <w:sz w:val="20"/>
                <w:szCs w:val="20"/>
              </w:rPr>
              <w:fldChar w:fldCharType="end"/>
            </w:r>
          </w:p>
        </w:sdtContent>
      </w:sdt>
    </w:sdtContent>
  </w:sdt>
  <w:p w14:paraId="1A7B45C4" w14:textId="77777777" w:rsidR="00FF09BA" w:rsidRDefault="00FF0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E393" w14:textId="77777777" w:rsidR="00E811FF" w:rsidRDefault="00E811FF">
      <w:r>
        <w:separator/>
      </w:r>
    </w:p>
  </w:footnote>
  <w:footnote w:type="continuationSeparator" w:id="0">
    <w:p w14:paraId="7BB0D3D2" w14:textId="77777777" w:rsidR="00E811FF" w:rsidRDefault="00E8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D11D2"/>
    <w:multiLevelType w:val="multilevel"/>
    <w:tmpl w:val="3EE0A5EA"/>
    <w:lvl w:ilvl="0">
      <w:start w:val="1"/>
      <w:numFmt w:val="decimal"/>
      <w:lvlText w:val="%1."/>
      <w:lvlJc w:val="left"/>
      <w:pPr>
        <w:ind w:left="360" w:hanging="360"/>
      </w:pPr>
    </w:lvl>
    <w:lvl w:ilvl="1">
      <w:start w:val="1"/>
      <w:numFmt w:val="lowerRoman"/>
      <w:lvlText w:val="(%2)"/>
      <w:lvlJc w:val="left"/>
      <w:pPr>
        <w:ind w:left="792" w:hanging="432"/>
      </w:pPr>
      <w:rPr>
        <w:rFonts w:ascii="Arial" w:eastAsia="Arial" w:hAnsi="Arial" w:cs="Arial"/>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A04C3F"/>
    <w:multiLevelType w:val="hybridMultilevel"/>
    <w:tmpl w:val="90C445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34138210">
    <w:abstractNumId w:val="1"/>
  </w:num>
  <w:num w:numId="2" w16cid:durableId="64127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5"/>
    <w:rsid w:val="00003E30"/>
    <w:rsid w:val="000046E4"/>
    <w:rsid w:val="00005661"/>
    <w:rsid w:val="00024FAA"/>
    <w:rsid w:val="00036B86"/>
    <w:rsid w:val="00057149"/>
    <w:rsid w:val="00061B24"/>
    <w:rsid w:val="00072880"/>
    <w:rsid w:val="0007485E"/>
    <w:rsid w:val="00081244"/>
    <w:rsid w:val="000A3D89"/>
    <w:rsid w:val="000B356C"/>
    <w:rsid w:val="000B48AA"/>
    <w:rsid w:val="000B5ABE"/>
    <w:rsid w:val="000C7E1F"/>
    <w:rsid w:val="000D68BF"/>
    <w:rsid w:val="000E36B1"/>
    <w:rsid w:val="000E74D5"/>
    <w:rsid w:val="000F2942"/>
    <w:rsid w:val="000F4650"/>
    <w:rsid w:val="000F76D6"/>
    <w:rsid w:val="001006B6"/>
    <w:rsid w:val="00115E67"/>
    <w:rsid w:val="0012081B"/>
    <w:rsid w:val="00126F15"/>
    <w:rsid w:val="001302E2"/>
    <w:rsid w:val="00133196"/>
    <w:rsid w:val="00135550"/>
    <w:rsid w:val="001557FA"/>
    <w:rsid w:val="00155AA9"/>
    <w:rsid w:val="001632A6"/>
    <w:rsid w:val="00171F45"/>
    <w:rsid w:val="0017698E"/>
    <w:rsid w:val="00177F28"/>
    <w:rsid w:val="0018247B"/>
    <w:rsid w:val="001833FB"/>
    <w:rsid w:val="00185701"/>
    <w:rsid w:val="0019728C"/>
    <w:rsid w:val="001A46E0"/>
    <w:rsid w:val="001A4F1E"/>
    <w:rsid w:val="001C0CF3"/>
    <w:rsid w:val="001D45AC"/>
    <w:rsid w:val="001E35B0"/>
    <w:rsid w:val="001E6378"/>
    <w:rsid w:val="001F4A07"/>
    <w:rsid w:val="0020272C"/>
    <w:rsid w:val="00207E92"/>
    <w:rsid w:val="00210FC9"/>
    <w:rsid w:val="002119D0"/>
    <w:rsid w:val="00213984"/>
    <w:rsid w:val="00213D26"/>
    <w:rsid w:val="00221A56"/>
    <w:rsid w:val="0022480E"/>
    <w:rsid w:val="00232402"/>
    <w:rsid w:val="00245FD3"/>
    <w:rsid w:val="00250A87"/>
    <w:rsid w:val="00256615"/>
    <w:rsid w:val="00263EB2"/>
    <w:rsid w:val="00275261"/>
    <w:rsid w:val="00282CB2"/>
    <w:rsid w:val="00285159"/>
    <w:rsid w:val="002A22E1"/>
    <w:rsid w:val="002A3B9F"/>
    <w:rsid w:val="002C475B"/>
    <w:rsid w:val="002D120A"/>
    <w:rsid w:val="002D683A"/>
    <w:rsid w:val="002F19CA"/>
    <w:rsid w:val="002F6FA1"/>
    <w:rsid w:val="00303616"/>
    <w:rsid w:val="00304767"/>
    <w:rsid w:val="0030489C"/>
    <w:rsid w:val="0031017D"/>
    <w:rsid w:val="0031770E"/>
    <w:rsid w:val="00322254"/>
    <w:rsid w:val="003236C2"/>
    <w:rsid w:val="00333AC8"/>
    <w:rsid w:val="00351CA5"/>
    <w:rsid w:val="003555AB"/>
    <w:rsid w:val="00377079"/>
    <w:rsid w:val="00380704"/>
    <w:rsid w:val="0039243D"/>
    <w:rsid w:val="00396E0E"/>
    <w:rsid w:val="003B06E3"/>
    <w:rsid w:val="003D0CE1"/>
    <w:rsid w:val="003D11CE"/>
    <w:rsid w:val="003D6BA9"/>
    <w:rsid w:val="003E6F17"/>
    <w:rsid w:val="003F0ACF"/>
    <w:rsid w:val="003F0E47"/>
    <w:rsid w:val="004228D5"/>
    <w:rsid w:val="00431DB1"/>
    <w:rsid w:val="0043749C"/>
    <w:rsid w:val="0044769C"/>
    <w:rsid w:val="00467F7B"/>
    <w:rsid w:val="004705D3"/>
    <w:rsid w:val="004A5157"/>
    <w:rsid w:val="004B79F2"/>
    <w:rsid w:val="004C3CB2"/>
    <w:rsid w:val="004D3B01"/>
    <w:rsid w:val="004D78C2"/>
    <w:rsid w:val="004E071F"/>
    <w:rsid w:val="004E747F"/>
    <w:rsid w:val="004E7763"/>
    <w:rsid w:val="004F63F6"/>
    <w:rsid w:val="00511BC9"/>
    <w:rsid w:val="00521062"/>
    <w:rsid w:val="00542940"/>
    <w:rsid w:val="005516D9"/>
    <w:rsid w:val="005626F3"/>
    <w:rsid w:val="0056302E"/>
    <w:rsid w:val="005767A5"/>
    <w:rsid w:val="0058076B"/>
    <w:rsid w:val="0058163B"/>
    <w:rsid w:val="0059030F"/>
    <w:rsid w:val="005923DA"/>
    <w:rsid w:val="00592501"/>
    <w:rsid w:val="005B7BE0"/>
    <w:rsid w:val="005D466C"/>
    <w:rsid w:val="005D5B25"/>
    <w:rsid w:val="005D7ED8"/>
    <w:rsid w:val="005E3AD5"/>
    <w:rsid w:val="005E3C53"/>
    <w:rsid w:val="005E6B5A"/>
    <w:rsid w:val="005E774D"/>
    <w:rsid w:val="005F5E59"/>
    <w:rsid w:val="00616802"/>
    <w:rsid w:val="00617198"/>
    <w:rsid w:val="00620B48"/>
    <w:rsid w:val="00621E89"/>
    <w:rsid w:val="00623C29"/>
    <w:rsid w:val="0065410C"/>
    <w:rsid w:val="0065511B"/>
    <w:rsid w:val="0065765B"/>
    <w:rsid w:val="00662185"/>
    <w:rsid w:val="00670C92"/>
    <w:rsid w:val="0067395E"/>
    <w:rsid w:val="006840CD"/>
    <w:rsid w:val="006842CC"/>
    <w:rsid w:val="006906EE"/>
    <w:rsid w:val="00694852"/>
    <w:rsid w:val="00696D6F"/>
    <w:rsid w:val="006A44A4"/>
    <w:rsid w:val="006A697F"/>
    <w:rsid w:val="006B3CDF"/>
    <w:rsid w:val="006B3FF1"/>
    <w:rsid w:val="006B7C34"/>
    <w:rsid w:val="006C4F8E"/>
    <w:rsid w:val="006C6760"/>
    <w:rsid w:val="006C6C7E"/>
    <w:rsid w:val="006D08BE"/>
    <w:rsid w:val="006D5E0B"/>
    <w:rsid w:val="006E04E8"/>
    <w:rsid w:val="006E1C89"/>
    <w:rsid w:val="006E534D"/>
    <w:rsid w:val="006F33A1"/>
    <w:rsid w:val="00701D3B"/>
    <w:rsid w:val="00704BD3"/>
    <w:rsid w:val="00705DF3"/>
    <w:rsid w:val="007078EF"/>
    <w:rsid w:val="00712332"/>
    <w:rsid w:val="007124BD"/>
    <w:rsid w:val="00723298"/>
    <w:rsid w:val="00735E6B"/>
    <w:rsid w:val="007547AC"/>
    <w:rsid w:val="00756B17"/>
    <w:rsid w:val="007621F6"/>
    <w:rsid w:val="00775B9B"/>
    <w:rsid w:val="0077684B"/>
    <w:rsid w:val="00782DCD"/>
    <w:rsid w:val="0079781E"/>
    <w:rsid w:val="007A4E83"/>
    <w:rsid w:val="007A7F7B"/>
    <w:rsid w:val="007C114D"/>
    <w:rsid w:val="007C42DF"/>
    <w:rsid w:val="007D6EF0"/>
    <w:rsid w:val="007E3618"/>
    <w:rsid w:val="007E3A61"/>
    <w:rsid w:val="007F215B"/>
    <w:rsid w:val="008055FD"/>
    <w:rsid w:val="00820AE1"/>
    <w:rsid w:val="00826C68"/>
    <w:rsid w:val="00834A48"/>
    <w:rsid w:val="00851759"/>
    <w:rsid w:val="00861475"/>
    <w:rsid w:val="008759E8"/>
    <w:rsid w:val="00886DD8"/>
    <w:rsid w:val="008A0703"/>
    <w:rsid w:val="008A46FB"/>
    <w:rsid w:val="008A4894"/>
    <w:rsid w:val="008B6D80"/>
    <w:rsid w:val="008C2F9E"/>
    <w:rsid w:val="008D25F6"/>
    <w:rsid w:val="008D76D3"/>
    <w:rsid w:val="008E1E46"/>
    <w:rsid w:val="009003BD"/>
    <w:rsid w:val="00903553"/>
    <w:rsid w:val="00916554"/>
    <w:rsid w:val="00923E3B"/>
    <w:rsid w:val="0092730B"/>
    <w:rsid w:val="00930EBF"/>
    <w:rsid w:val="00932E80"/>
    <w:rsid w:val="00940766"/>
    <w:rsid w:val="00940B3A"/>
    <w:rsid w:val="009463C9"/>
    <w:rsid w:val="009525B8"/>
    <w:rsid w:val="009551DB"/>
    <w:rsid w:val="00961E98"/>
    <w:rsid w:val="00980F1B"/>
    <w:rsid w:val="00984CD4"/>
    <w:rsid w:val="0098603C"/>
    <w:rsid w:val="009A12FA"/>
    <w:rsid w:val="009A12FB"/>
    <w:rsid w:val="009D067F"/>
    <w:rsid w:val="009E6082"/>
    <w:rsid w:val="009E7F23"/>
    <w:rsid w:val="00A00FD5"/>
    <w:rsid w:val="00A04217"/>
    <w:rsid w:val="00A171B6"/>
    <w:rsid w:val="00A20147"/>
    <w:rsid w:val="00A3190D"/>
    <w:rsid w:val="00A3208D"/>
    <w:rsid w:val="00A41C49"/>
    <w:rsid w:val="00A62603"/>
    <w:rsid w:val="00A6625C"/>
    <w:rsid w:val="00A77D68"/>
    <w:rsid w:val="00A939D9"/>
    <w:rsid w:val="00AA133E"/>
    <w:rsid w:val="00AB275B"/>
    <w:rsid w:val="00AB43FD"/>
    <w:rsid w:val="00AB705A"/>
    <w:rsid w:val="00AB7926"/>
    <w:rsid w:val="00AC0FB5"/>
    <w:rsid w:val="00AC3298"/>
    <w:rsid w:val="00AD37D2"/>
    <w:rsid w:val="00AD75A8"/>
    <w:rsid w:val="00AF148D"/>
    <w:rsid w:val="00B03B89"/>
    <w:rsid w:val="00B07F18"/>
    <w:rsid w:val="00B33A2A"/>
    <w:rsid w:val="00B37BA6"/>
    <w:rsid w:val="00B41703"/>
    <w:rsid w:val="00B71B21"/>
    <w:rsid w:val="00B72850"/>
    <w:rsid w:val="00B73006"/>
    <w:rsid w:val="00B73859"/>
    <w:rsid w:val="00B81415"/>
    <w:rsid w:val="00B82E1B"/>
    <w:rsid w:val="00B91312"/>
    <w:rsid w:val="00B94442"/>
    <w:rsid w:val="00B95115"/>
    <w:rsid w:val="00B975D6"/>
    <w:rsid w:val="00BB2003"/>
    <w:rsid w:val="00BB5930"/>
    <w:rsid w:val="00BD61CD"/>
    <w:rsid w:val="00BE1F69"/>
    <w:rsid w:val="00BE3772"/>
    <w:rsid w:val="00BE3881"/>
    <w:rsid w:val="00BE58F2"/>
    <w:rsid w:val="00BF2B74"/>
    <w:rsid w:val="00C1357F"/>
    <w:rsid w:val="00C169BC"/>
    <w:rsid w:val="00C21C02"/>
    <w:rsid w:val="00C36345"/>
    <w:rsid w:val="00C37C99"/>
    <w:rsid w:val="00C37E99"/>
    <w:rsid w:val="00C50139"/>
    <w:rsid w:val="00C50B60"/>
    <w:rsid w:val="00C72718"/>
    <w:rsid w:val="00C87773"/>
    <w:rsid w:val="00C9534D"/>
    <w:rsid w:val="00CA4EAA"/>
    <w:rsid w:val="00CA53EC"/>
    <w:rsid w:val="00CD1EB4"/>
    <w:rsid w:val="00CD2968"/>
    <w:rsid w:val="00CD43B1"/>
    <w:rsid w:val="00D00667"/>
    <w:rsid w:val="00D016B7"/>
    <w:rsid w:val="00D14A2B"/>
    <w:rsid w:val="00D25095"/>
    <w:rsid w:val="00D44DCE"/>
    <w:rsid w:val="00D521AD"/>
    <w:rsid w:val="00D6116D"/>
    <w:rsid w:val="00D62DAE"/>
    <w:rsid w:val="00D671CE"/>
    <w:rsid w:val="00DA0AD9"/>
    <w:rsid w:val="00DA1A24"/>
    <w:rsid w:val="00DA3B50"/>
    <w:rsid w:val="00DB2A3F"/>
    <w:rsid w:val="00DD013F"/>
    <w:rsid w:val="00E01ACB"/>
    <w:rsid w:val="00E12400"/>
    <w:rsid w:val="00E17EBF"/>
    <w:rsid w:val="00E23CF3"/>
    <w:rsid w:val="00E41B27"/>
    <w:rsid w:val="00E66EE2"/>
    <w:rsid w:val="00E762CA"/>
    <w:rsid w:val="00E76E08"/>
    <w:rsid w:val="00E811FF"/>
    <w:rsid w:val="00E858EB"/>
    <w:rsid w:val="00EA12CD"/>
    <w:rsid w:val="00EA4547"/>
    <w:rsid w:val="00EB5925"/>
    <w:rsid w:val="00EC10A6"/>
    <w:rsid w:val="00ED5D51"/>
    <w:rsid w:val="00ED7A2C"/>
    <w:rsid w:val="00EE43D7"/>
    <w:rsid w:val="00EE54D7"/>
    <w:rsid w:val="00F00131"/>
    <w:rsid w:val="00F077E1"/>
    <w:rsid w:val="00F31A5E"/>
    <w:rsid w:val="00F44CE2"/>
    <w:rsid w:val="00F4606C"/>
    <w:rsid w:val="00F53E71"/>
    <w:rsid w:val="00F816A1"/>
    <w:rsid w:val="00F869B0"/>
    <w:rsid w:val="00F903E9"/>
    <w:rsid w:val="00F93450"/>
    <w:rsid w:val="00F93F29"/>
    <w:rsid w:val="00F962E3"/>
    <w:rsid w:val="00FA6F39"/>
    <w:rsid w:val="00FA70DE"/>
    <w:rsid w:val="00FB30FE"/>
    <w:rsid w:val="00FB5C0D"/>
    <w:rsid w:val="00FC1B44"/>
    <w:rsid w:val="00FC61F3"/>
    <w:rsid w:val="00FC6F61"/>
    <w:rsid w:val="00FD45B4"/>
    <w:rsid w:val="00FE1B25"/>
    <w:rsid w:val="00FF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AE06"/>
  <w15:chartTrackingRefBased/>
  <w15:docId w15:val="{E06A9F4B-1A85-4579-AA17-44B97506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185"/>
    <w:pPr>
      <w:widowControl w:val="0"/>
      <w:autoSpaceDE w:val="0"/>
      <w:autoSpaceDN w:val="0"/>
      <w:spacing w:after="0" w:line="240" w:lineRule="auto"/>
    </w:pPr>
    <w:rPr>
      <w:rFonts w:ascii="Arial" w:eastAsia="Arial" w:hAnsi="Arial" w:cs="Arial"/>
      <w:kern w:val="0"/>
      <w:sz w:val="22"/>
      <w:szCs w:val="22"/>
      <w:lang w:eastAsia="en-GB" w:bidi="en-GB"/>
      <w14:ligatures w14:val="none"/>
    </w:rPr>
  </w:style>
  <w:style w:type="paragraph" w:styleId="Heading1">
    <w:name w:val="heading 1"/>
    <w:basedOn w:val="Normal"/>
    <w:next w:val="Normal"/>
    <w:link w:val="Heading1Char"/>
    <w:uiPriority w:val="9"/>
    <w:qFormat/>
    <w:rsid w:val="00662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1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85"/>
    <w:rPr>
      <w:rFonts w:eastAsiaTheme="majorEastAsia" w:cstheme="majorBidi"/>
      <w:color w:val="272727" w:themeColor="text1" w:themeTint="D8"/>
    </w:rPr>
  </w:style>
  <w:style w:type="paragraph" w:styleId="Title">
    <w:name w:val="Title"/>
    <w:basedOn w:val="Normal"/>
    <w:next w:val="Normal"/>
    <w:link w:val="TitleChar"/>
    <w:uiPriority w:val="10"/>
    <w:qFormat/>
    <w:rsid w:val="006621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85"/>
    <w:pPr>
      <w:spacing w:before="160"/>
      <w:jc w:val="center"/>
    </w:pPr>
    <w:rPr>
      <w:i/>
      <w:iCs/>
      <w:color w:val="404040" w:themeColor="text1" w:themeTint="BF"/>
    </w:rPr>
  </w:style>
  <w:style w:type="character" w:customStyle="1" w:styleId="QuoteChar">
    <w:name w:val="Quote Char"/>
    <w:basedOn w:val="DefaultParagraphFont"/>
    <w:link w:val="Quote"/>
    <w:uiPriority w:val="29"/>
    <w:rsid w:val="00662185"/>
    <w:rPr>
      <w:i/>
      <w:iCs/>
      <w:color w:val="404040" w:themeColor="text1" w:themeTint="BF"/>
    </w:rPr>
  </w:style>
  <w:style w:type="paragraph" w:styleId="ListParagraph">
    <w:name w:val="List Paragraph"/>
    <w:basedOn w:val="Normal"/>
    <w:uiPriority w:val="34"/>
    <w:qFormat/>
    <w:rsid w:val="00662185"/>
    <w:pPr>
      <w:ind w:left="720"/>
      <w:contextualSpacing/>
    </w:pPr>
  </w:style>
  <w:style w:type="character" w:styleId="IntenseEmphasis">
    <w:name w:val="Intense Emphasis"/>
    <w:basedOn w:val="DefaultParagraphFont"/>
    <w:uiPriority w:val="21"/>
    <w:qFormat/>
    <w:rsid w:val="00662185"/>
    <w:rPr>
      <w:i/>
      <w:iCs/>
      <w:color w:val="0F4761" w:themeColor="accent1" w:themeShade="BF"/>
    </w:rPr>
  </w:style>
  <w:style w:type="paragraph" w:styleId="IntenseQuote">
    <w:name w:val="Intense Quote"/>
    <w:basedOn w:val="Normal"/>
    <w:next w:val="Normal"/>
    <w:link w:val="IntenseQuoteChar"/>
    <w:uiPriority w:val="30"/>
    <w:qFormat/>
    <w:rsid w:val="00662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185"/>
    <w:rPr>
      <w:i/>
      <w:iCs/>
      <w:color w:val="0F4761" w:themeColor="accent1" w:themeShade="BF"/>
    </w:rPr>
  </w:style>
  <w:style w:type="character" w:styleId="IntenseReference">
    <w:name w:val="Intense Reference"/>
    <w:basedOn w:val="DefaultParagraphFont"/>
    <w:uiPriority w:val="32"/>
    <w:qFormat/>
    <w:rsid w:val="00662185"/>
    <w:rPr>
      <w:b/>
      <w:bCs/>
      <w:smallCaps/>
      <w:color w:val="0F4761" w:themeColor="accent1" w:themeShade="BF"/>
      <w:spacing w:val="5"/>
    </w:rPr>
  </w:style>
  <w:style w:type="paragraph" w:styleId="BodyText">
    <w:name w:val="Body Text"/>
    <w:basedOn w:val="Normal"/>
    <w:link w:val="BodyTextChar"/>
    <w:uiPriority w:val="1"/>
    <w:qFormat/>
    <w:rsid w:val="00662185"/>
    <w:rPr>
      <w:sz w:val="28"/>
      <w:szCs w:val="28"/>
    </w:rPr>
  </w:style>
  <w:style w:type="character" w:customStyle="1" w:styleId="BodyTextChar">
    <w:name w:val="Body Text Char"/>
    <w:basedOn w:val="DefaultParagraphFont"/>
    <w:link w:val="BodyText"/>
    <w:uiPriority w:val="1"/>
    <w:rsid w:val="00662185"/>
    <w:rPr>
      <w:rFonts w:ascii="Arial" w:eastAsia="Arial" w:hAnsi="Arial" w:cs="Arial"/>
      <w:kern w:val="0"/>
      <w:sz w:val="28"/>
      <w:szCs w:val="28"/>
      <w:lang w:eastAsia="en-GB" w:bidi="en-GB"/>
      <w14:ligatures w14:val="none"/>
    </w:rPr>
  </w:style>
  <w:style w:type="paragraph" w:customStyle="1" w:styleId="TableParagraph">
    <w:name w:val="Table Paragraph"/>
    <w:basedOn w:val="Normal"/>
    <w:uiPriority w:val="1"/>
    <w:qFormat/>
    <w:rsid w:val="00662185"/>
    <w:pPr>
      <w:spacing w:before="134"/>
    </w:pPr>
  </w:style>
  <w:style w:type="paragraph" w:styleId="Header">
    <w:name w:val="header"/>
    <w:basedOn w:val="Normal"/>
    <w:link w:val="HeaderChar"/>
    <w:uiPriority w:val="99"/>
    <w:unhideWhenUsed/>
    <w:rsid w:val="00662185"/>
    <w:pPr>
      <w:tabs>
        <w:tab w:val="center" w:pos="4513"/>
        <w:tab w:val="right" w:pos="9026"/>
      </w:tabs>
    </w:pPr>
  </w:style>
  <w:style w:type="character" w:customStyle="1" w:styleId="HeaderChar">
    <w:name w:val="Header Char"/>
    <w:basedOn w:val="DefaultParagraphFont"/>
    <w:link w:val="Header"/>
    <w:uiPriority w:val="99"/>
    <w:rsid w:val="00662185"/>
    <w:rPr>
      <w:rFonts w:ascii="Arial" w:eastAsia="Arial" w:hAnsi="Arial" w:cs="Arial"/>
      <w:kern w:val="0"/>
      <w:sz w:val="22"/>
      <w:szCs w:val="22"/>
      <w:lang w:eastAsia="en-GB" w:bidi="en-GB"/>
      <w14:ligatures w14:val="none"/>
    </w:rPr>
  </w:style>
  <w:style w:type="paragraph" w:styleId="Footer">
    <w:name w:val="footer"/>
    <w:basedOn w:val="Normal"/>
    <w:link w:val="FooterChar"/>
    <w:uiPriority w:val="99"/>
    <w:unhideWhenUsed/>
    <w:rsid w:val="00662185"/>
    <w:pPr>
      <w:tabs>
        <w:tab w:val="center" w:pos="4513"/>
        <w:tab w:val="right" w:pos="9026"/>
      </w:tabs>
    </w:pPr>
  </w:style>
  <w:style w:type="character" w:customStyle="1" w:styleId="FooterChar">
    <w:name w:val="Footer Char"/>
    <w:basedOn w:val="DefaultParagraphFont"/>
    <w:link w:val="Footer"/>
    <w:uiPriority w:val="99"/>
    <w:rsid w:val="00662185"/>
    <w:rPr>
      <w:rFonts w:ascii="Arial" w:eastAsia="Arial" w:hAnsi="Arial" w:cs="Arial"/>
      <w:kern w:val="0"/>
      <w:sz w:val="22"/>
      <w:szCs w:val="22"/>
      <w:lang w:eastAsia="en-GB" w:bidi="en-GB"/>
      <w14:ligatures w14:val="none"/>
    </w:rPr>
  </w:style>
  <w:style w:type="paragraph" w:styleId="Revision">
    <w:name w:val="Revision"/>
    <w:hidden/>
    <w:uiPriority w:val="99"/>
    <w:semiHidden/>
    <w:rsid w:val="00E17EBF"/>
    <w:pPr>
      <w:spacing w:after="0" w:line="240" w:lineRule="auto"/>
    </w:pPr>
    <w:rPr>
      <w:rFonts w:ascii="Arial" w:eastAsia="Arial" w:hAnsi="Arial" w:cs="Arial"/>
      <w:kern w:val="0"/>
      <w:sz w:val="22"/>
      <w:szCs w:val="22"/>
      <w:lang w:eastAsia="en-GB" w:bidi="en-GB"/>
      <w14:ligatures w14:val="none"/>
    </w:rPr>
  </w:style>
  <w:style w:type="character" w:styleId="CommentReference">
    <w:name w:val="annotation reference"/>
    <w:basedOn w:val="DefaultParagraphFont"/>
    <w:uiPriority w:val="99"/>
    <w:semiHidden/>
    <w:unhideWhenUsed/>
    <w:rsid w:val="004C3CB2"/>
    <w:rPr>
      <w:sz w:val="16"/>
      <w:szCs w:val="16"/>
    </w:rPr>
  </w:style>
  <w:style w:type="paragraph" w:styleId="CommentText">
    <w:name w:val="annotation text"/>
    <w:basedOn w:val="Normal"/>
    <w:link w:val="CommentTextChar"/>
    <w:uiPriority w:val="99"/>
    <w:semiHidden/>
    <w:unhideWhenUsed/>
    <w:rsid w:val="004C3CB2"/>
    <w:rPr>
      <w:sz w:val="20"/>
      <w:szCs w:val="20"/>
    </w:rPr>
  </w:style>
  <w:style w:type="character" w:customStyle="1" w:styleId="CommentTextChar">
    <w:name w:val="Comment Text Char"/>
    <w:basedOn w:val="DefaultParagraphFont"/>
    <w:link w:val="CommentText"/>
    <w:uiPriority w:val="99"/>
    <w:semiHidden/>
    <w:rsid w:val="004C3CB2"/>
    <w:rPr>
      <w:rFonts w:ascii="Arial" w:eastAsia="Arial" w:hAnsi="Arial" w:cs="Arial"/>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4C3CB2"/>
    <w:rPr>
      <w:b/>
      <w:bCs/>
    </w:rPr>
  </w:style>
  <w:style w:type="character" w:customStyle="1" w:styleId="CommentSubjectChar">
    <w:name w:val="Comment Subject Char"/>
    <w:basedOn w:val="CommentTextChar"/>
    <w:link w:val="CommentSubject"/>
    <w:uiPriority w:val="99"/>
    <w:semiHidden/>
    <w:rsid w:val="004C3CB2"/>
    <w:rPr>
      <w:rFonts w:ascii="Arial" w:eastAsia="Arial" w:hAnsi="Arial" w:cs="Arial"/>
      <w:b/>
      <w:bCs/>
      <w:kern w:val="0"/>
      <w:sz w:val="20"/>
      <w:szCs w:val="2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0248">
      <w:bodyDiv w:val="1"/>
      <w:marLeft w:val="0"/>
      <w:marRight w:val="0"/>
      <w:marTop w:val="0"/>
      <w:marBottom w:val="0"/>
      <w:divBdr>
        <w:top w:val="none" w:sz="0" w:space="0" w:color="auto"/>
        <w:left w:val="none" w:sz="0" w:space="0" w:color="auto"/>
        <w:bottom w:val="none" w:sz="0" w:space="0" w:color="auto"/>
        <w:right w:val="none" w:sz="0" w:space="0" w:color="auto"/>
      </w:divBdr>
    </w:div>
    <w:div w:id="234825459">
      <w:bodyDiv w:val="1"/>
      <w:marLeft w:val="0"/>
      <w:marRight w:val="0"/>
      <w:marTop w:val="0"/>
      <w:marBottom w:val="0"/>
      <w:divBdr>
        <w:top w:val="none" w:sz="0" w:space="0" w:color="auto"/>
        <w:left w:val="none" w:sz="0" w:space="0" w:color="auto"/>
        <w:bottom w:val="none" w:sz="0" w:space="0" w:color="auto"/>
        <w:right w:val="none" w:sz="0" w:space="0" w:color="auto"/>
      </w:divBdr>
    </w:div>
    <w:div w:id="354314075">
      <w:bodyDiv w:val="1"/>
      <w:marLeft w:val="0"/>
      <w:marRight w:val="0"/>
      <w:marTop w:val="0"/>
      <w:marBottom w:val="0"/>
      <w:divBdr>
        <w:top w:val="none" w:sz="0" w:space="0" w:color="auto"/>
        <w:left w:val="none" w:sz="0" w:space="0" w:color="auto"/>
        <w:bottom w:val="none" w:sz="0" w:space="0" w:color="auto"/>
        <w:right w:val="none" w:sz="0" w:space="0" w:color="auto"/>
      </w:divBdr>
    </w:div>
    <w:div w:id="449132800">
      <w:bodyDiv w:val="1"/>
      <w:marLeft w:val="0"/>
      <w:marRight w:val="0"/>
      <w:marTop w:val="0"/>
      <w:marBottom w:val="0"/>
      <w:divBdr>
        <w:top w:val="none" w:sz="0" w:space="0" w:color="auto"/>
        <w:left w:val="none" w:sz="0" w:space="0" w:color="auto"/>
        <w:bottom w:val="none" w:sz="0" w:space="0" w:color="auto"/>
        <w:right w:val="none" w:sz="0" w:space="0" w:color="auto"/>
      </w:divBdr>
    </w:div>
    <w:div w:id="514423332">
      <w:bodyDiv w:val="1"/>
      <w:marLeft w:val="0"/>
      <w:marRight w:val="0"/>
      <w:marTop w:val="0"/>
      <w:marBottom w:val="0"/>
      <w:divBdr>
        <w:top w:val="none" w:sz="0" w:space="0" w:color="auto"/>
        <w:left w:val="none" w:sz="0" w:space="0" w:color="auto"/>
        <w:bottom w:val="none" w:sz="0" w:space="0" w:color="auto"/>
        <w:right w:val="none" w:sz="0" w:space="0" w:color="auto"/>
      </w:divBdr>
    </w:div>
    <w:div w:id="554128069">
      <w:bodyDiv w:val="1"/>
      <w:marLeft w:val="0"/>
      <w:marRight w:val="0"/>
      <w:marTop w:val="0"/>
      <w:marBottom w:val="0"/>
      <w:divBdr>
        <w:top w:val="none" w:sz="0" w:space="0" w:color="auto"/>
        <w:left w:val="none" w:sz="0" w:space="0" w:color="auto"/>
        <w:bottom w:val="none" w:sz="0" w:space="0" w:color="auto"/>
        <w:right w:val="none" w:sz="0" w:space="0" w:color="auto"/>
      </w:divBdr>
    </w:div>
    <w:div w:id="602104514">
      <w:bodyDiv w:val="1"/>
      <w:marLeft w:val="0"/>
      <w:marRight w:val="0"/>
      <w:marTop w:val="0"/>
      <w:marBottom w:val="0"/>
      <w:divBdr>
        <w:top w:val="none" w:sz="0" w:space="0" w:color="auto"/>
        <w:left w:val="none" w:sz="0" w:space="0" w:color="auto"/>
        <w:bottom w:val="none" w:sz="0" w:space="0" w:color="auto"/>
        <w:right w:val="none" w:sz="0" w:space="0" w:color="auto"/>
      </w:divBdr>
    </w:div>
    <w:div w:id="811673842">
      <w:bodyDiv w:val="1"/>
      <w:marLeft w:val="0"/>
      <w:marRight w:val="0"/>
      <w:marTop w:val="0"/>
      <w:marBottom w:val="0"/>
      <w:divBdr>
        <w:top w:val="none" w:sz="0" w:space="0" w:color="auto"/>
        <w:left w:val="none" w:sz="0" w:space="0" w:color="auto"/>
        <w:bottom w:val="none" w:sz="0" w:space="0" w:color="auto"/>
        <w:right w:val="none" w:sz="0" w:space="0" w:color="auto"/>
      </w:divBdr>
    </w:div>
    <w:div w:id="869415299">
      <w:bodyDiv w:val="1"/>
      <w:marLeft w:val="0"/>
      <w:marRight w:val="0"/>
      <w:marTop w:val="0"/>
      <w:marBottom w:val="0"/>
      <w:divBdr>
        <w:top w:val="none" w:sz="0" w:space="0" w:color="auto"/>
        <w:left w:val="none" w:sz="0" w:space="0" w:color="auto"/>
        <w:bottom w:val="none" w:sz="0" w:space="0" w:color="auto"/>
        <w:right w:val="none" w:sz="0" w:space="0" w:color="auto"/>
      </w:divBdr>
    </w:div>
    <w:div w:id="1050425693">
      <w:bodyDiv w:val="1"/>
      <w:marLeft w:val="0"/>
      <w:marRight w:val="0"/>
      <w:marTop w:val="0"/>
      <w:marBottom w:val="0"/>
      <w:divBdr>
        <w:top w:val="none" w:sz="0" w:space="0" w:color="auto"/>
        <w:left w:val="none" w:sz="0" w:space="0" w:color="auto"/>
        <w:bottom w:val="none" w:sz="0" w:space="0" w:color="auto"/>
        <w:right w:val="none" w:sz="0" w:space="0" w:color="auto"/>
      </w:divBdr>
    </w:div>
    <w:div w:id="1062286638">
      <w:bodyDiv w:val="1"/>
      <w:marLeft w:val="0"/>
      <w:marRight w:val="0"/>
      <w:marTop w:val="0"/>
      <w:marBottom w:val="0"/>
      <w:divBdr>
        <w:top w:val="none" w:sz="0" w:space="0" w:color="auto"/>
        <w:left w:val="none" w:sz="0" w:space="0" w:color="auto"/>
        <w:bottom w:val="none" w:sz="0" w:space="0" w:color="auto"/>
        <w:right w:val="none" w:sz="0" w:space="0" w:color="auto"/>
      </w:divBdr>
    </w:div>
    <w:div w:id="1068071233">
      <w:bodyDiv w:val="1"/>
      <w:marLeft w:val="0"/>
      <w:marRight w:val="0"/>
      <w:marTop w:val="0"/>
      <w:marBottom w:val="0"/>
      <w:divBdr>
        <w:top w:val="none" w:sz="0" w:space="0" w:color="auto"/>
        <w:left w:val="none" w:sz="0" w:space="0" w:color="auto"/>
        <w:bottom w:val="none" w:sz="0" w:space="0" w:color="auto"/>
        <w:right w:val="none" w:sz="0" w:space="0" w:color="auto"/>
      </w:divBdr>
    </w:div>
    <w:div w:id="1068721455">
      <w:bodyDiv w:val="1"/>
      <w:marLeft w:val="0"/>
      <w:marRight w:val="0"/>
      <w:marTop w:val="0"/>
      <w:marBottom w:val="0"/>
      <w:divBdr>
        <w:top w:val="none" w:sz="0" w:space="0" w:color="auto"/>
        <w:left w:val="none" w:sz="0" w:space="0" w:color="auto"/>
        <w:bottom w:val="none" w:sz="0" w:space="0" w:color="auto"/>
        <w:right w:val="none" w:sz="0" w:space="0" w:color="auto"/>
      </w:divBdr>
    </w:div>
    <w:div w:id="1218736736">
      <w:bodyDiv w:val="1"/>
      <w:marLeft w:val="0"/>
      <w:marRight w:val="0"/>
      <w:marTop w:val="0"/>
      <w:marBottom w:val="0"/>
      <w:divBdr>
        <w:top w:val="none" w:sz="0" w:space="0" w:color="auto"/>
        <w:left w:val="none" w:sz="0" w:space="0" w:color="auto"/>
        <w:bottom w:val="none" w:sz="0" w:space="0" w:color="auto"/>
        <w:right w:val="none" w:sz="0" w:space="0" w:color="auto"/>
      </w:divBdr>
    </w:div>
    <w:div w:id="1229534336">
      <w:bodyDiv w:val="1"/>
      <w:marLeft w:val="0"/>
      <w:marRight w:val="0"/>
      <w:marTop w:val="0"/>
      <w:marBottom w:val="0"/>
      <w:divBdr>
        <w:top w:val="none" w:sz="0" w:space="0" w:color="auto"/>
        <w:left w:val="none" w:sz="0" w:space="0" w:color="auto"/>
        <w:bottom w:val="none" w:sz="0" w:space="0" w:color="auto"/>
        <w:right w:val="none" w:sz="0" w:space="0" w:color="auto"/>
      </w:divBdr>
    </w:div>
    <w:div w:id="1341619854">
      <w:bodyDiv w:val="1"/>
      <w:marLeft w:val="0"/>
      <w:marRight w:val="0"/>
      <w:marTop w:val="0"/>
      <w:marBottom w:val="0"/>
      <w:divBdr>
        <w:top w:val="none" w:sz="0" w:space="0" w:color="auto"/>
        <w:left w:val="none" w:sz="0" w:space="0" w:color="auto"/>
        <w:bottom w:val="none" w:sz="0" w:space="0" w:color="auto"/>
        <w:right w:val="none" w:sz="0" w:space="0" w:color="auto"/>
      </w:divBdr>
    </w:div>
    <w:div w:id="1397704379">
      <w:bodyDiv w:val="1"/>
      <w:marLeft w:val="0"/>
      <w:marRight w:val="0"/>
      <w:marTop w:val="0"/>
      <w:marBottom w:val="0"/>
      <w:divBdr>
        <w:top w:val="none" w:sz="0" w:space="0" w:color="auto"/>
        <w:left w:val="none" w:sz="0" w:space="0" w:color="auto"/>
        <w:bottom w:val="none" w:sz="0" w:space="0" w:color="auto"/>
        <w:right w:val="none" w:sz="0" w:space="0" w:color="auto"/>
      </w:divBdr>
    </w:div>
    <w:div w:id="1589851970">
      <w:bodyDiv w:val="1"/>
      <w:marLeft w:val="0"/>
      <w:marRight w:val="0"/>
      <w:marTop w:val="0"/>
      <w:marBottom w:val="0"/>
      <w:divBdr>
        <w:top w:val="none" w:sz="0" w:space="0" w:color="auto"/>
        <w:left w:val="none" w:sz="0" w:space="0" w:color="auto"/>
        <w:bottom w:val="none" w:sz="0" w:space="0" w:color="auto"/>
        <w:right w:val="none" w:sz="0" w:space="0" w:color="auto"/>
      </w:divBdr>
    </w:div>
    <w:div w:id="1613632682">
      <w:bodyDiv w:val="1"/>
      <w:marLeft w:val="0"/>
      <w:marRight w:val="0"/>
      <w:marTop w:val="0"/>
      <w:marBottom w:val="0"/>
      <w:divBdr>
        <w:top w:val="none" w:sz="0" w:space="0" w:color="auto"/>
        <w:left w:val="none" w:sz="0" w:space="0" w:color="auto"/>
        <w:bottom w:val="none" w:sz="0" w:space="0" w:color="auto"/>
        <w:right w:val="none" w:sz="0" w:space="0" w:color="auto"/>
      </w:divBdr>
    </w:div>
    <w:div w:id="1736471017">
      <w:bodyDiv w:val="1"/>
      <w:marLeft w:val="0"/>
      <w:marRight w:val="0"/>
      <w:marTop w:val="0"/>
      <w:marBottom w:val="0"/>
      <w:divBdr>
        <w:top w:val="none" w:sz="0" w:space="0" w:color="auto"/>
        <w:left w:val="none" w:sz="0" w:space="0" w:color="auto"/>
        <w:bottom w:val="none" w:sz="0" w:space="0" w:color="auto"/>
        <w:right w:val="none" w:sz="0" w:space="0" w:color="auto"/>
      </w:divBdr>
    </w:div>
    <w:div w:id="1796365592">
      <w:bodyDiv w:val="1"/>
      <w:marLeft w:val="0"/>
      <w:marRight w:val="0"/>
      <w:marTop w:val="0"/>
      <w:marBottom w:val="0"/>
      <w:divBdr>
        <w:top w:val="none" w:sz="0" w:space="0" w:color="auto"/>
        <w:left w:val="none" w:sz="0" w:space="0" w:color="auto"/>
        <w:bottom w:val="none" w:sz="0" w:space="0" w:color="auto"/>
        <w:right w:val="none" w:sz="0" w:space="0" w:color="auto"/>
      </w:divBdr>
    </w:div>
    <w:div w:id="18265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B0619E48DB146BF4E7EA6A45D2A6B" ma:contentTypeVersion="9" ma:contentTypeDescription="Create a new document." ma:contentTypeScope="" ma:versionID="8fb18d32628c8c4985fbe4720c38ab00">
  <xsd:schema xmlns:xsd="http://www.w3.org/2001/XMLSchema" xmlns:xs="http://www.w3.org/2001/XMLSchema" xmlns:p="http://schemas.microsoft.com/office/2006/metadata/properties" xmlns:ns2="35733c71-d1b6-4a86-8924-72355f3f55dc" targetNamespace="http://schemas.microsoft.com/office/2006/metadata/properties" ma:root="true" ma:fieldsID="24397855ff975645420deeec56677e49" ns2:_="">
    <xsd:import namespace="35733c71-d1b6-4a86-8924-72355f3f5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33c71-d1b6-4a86-8924-72355f3f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bec46d-453a-405f-9dc7-db8e94f271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33c71-d1b6-4a86-8924-72355f3f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82C78-269F-4F66-90AE-01CE6627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33c71-d1b6-4a86-8924-72355f3f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861B8-7F74-438C-8053-BE7329CB6414}">
  <ds:schemaRefs>
    <ds:schemaRef ds:uri="http://schemas.microsoft.com/sharepoint/v3/contenttype/forms"/>
  </ds:schemaRefs>
</ds:datastoreItem>
</file>

<file path=customXml/itemProps3.xml><?xml version="1.0" encoding="utf-8"?>
<ds:datastoreItem xmlns:ds="http://schemas.openxmlformats.org/officeDocument/2006/customXml" ds:itemID="{4AF07B75-2C7A-41DB-A58D-558A78E0305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35733c71-d1b6-4a86-8924-72355f3f55dc"/>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3178</Words>
  <Characters>17021</Characters>
  <Application>Microsoft Office Word</Application>
  <DocSecurity>0</DocSecurity>
  <Lines>417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Muir</dc:creator>
  <cp:keywords/>
  <dc:description/>
  <cp:lastModifiedBy>Penny Muir</cp:lastModifiedBy>
  <cp:revision>3</cp:revision>
  <dcterms:created xsi:type="dcterms:W3CDTF">2025-09-15T15:18:00Z</dcterms:created>
  <dcterms:modified xsi:type="dcterms:W3CDTF">2025-10-07T12:01:00Z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0x010100A92B0619E48DB146BF4E7EA6A45D2A6B</vt:lpwstr>
  </property>
  <property fmtid="{D5CDD505-2E9C-101B-9397-08002B2CF9AE}" pid="3" name="MediaServiceImageTags">
    <vt:lpwstr/>
  </property>
</Properties>
</file>