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7A28" w14:textId="77777777" w:rsidR="002A5664" w:rsidRDefault="002A5664" w:rsidP="002A5664">
      <w:pPr>
        <w:spacing w:after="120"/>
        <w:rPr>
          <w:b/>
          <w:sz w:val="32"/>
        </w:rPr>
      </w:pPr>
      <w:r>
        <w:rPr>
          <w:noProof/>
          <w:lang w:eastAsia="en-GB"/>
        </w:rPr>
        <w:drawing>
          <wp:anchor distT="0" distB="0" distL="0" distR="0" simplePos="0" relativeHeight="251659264" behindDoc="0" locked="0" layoutInCell="1" allowOverlap="1" wp14:anchorId="0BF9AB3D" wp14:editId="042AF43E">
            <wp:simplePos x="0" y="0"/>
            <wp:positionH relativeFrom="page">
              <wp:posOffset>6218083</wp:posOffset>
            </wp:positionH>
            <wp:positionV relativeFrom="paragraph">
              <wp:posOffset>-5064</wp:posOffset>
            </wp:positionV>
            <wp:extent cx="751440" cy="863131"/>
            <wp:effectExtent l="0" t="0" r="0" b="0"/>
            <wp:wrapNone/>
            <wp:docPr id="3" name="Picture 3" descr="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51440" cy="863131"/>
                    </a:xfrm>
                    <a:prstGeom prst="rect">
                      <a:avLst/>
                    </a:prstGeom>
                  </pic:spPr>
                </pic:pic>
              </a:graphicData>
            </a:graphic>
          </wp:anchor>
        </w:drawing>
      </w:r>
      <w:r w:rsidRPr="257B5C50">
        <w:rPr>
          <w:b/>
          <w:bCs/>
          <w:sz w:val="32"/>
          <w:szCs w:val="32"/>
        </w:rPr>
        <w:t>BOARD OF MANAGEMENT</w:t>
      </w:r>
    </w:p>
    <w:p w14:paraId="1831480B" w14:textId="77777777" w:rsidR="002A5664" w:rsidRDefault="002A5664" w:rsidP="002A5664">
      <w:pPr>
        <w:ind w:right="2552"/>
        <w:rPr>
          <w:b/>
          <w:bCs/>
          <w:color w:val="000000" w:themeColor="text1"/>
          <w:sz w:val="28"/>
        </w:rPr>
      </w:pPr>
      <w:r w:rsidRPr="00C62534">
        <w:rPr>
          <w:b/>
          <w:bCs/>
          <w:color w:val="000000" w:themeColor="text1"/>
          <w:sz w:val="28"/>
        </w:rPr>
        <w:t xml:space="preserve">Tuesday </w:t>
      </w:r>
      <w:r>
        <w:rPr>
          <w:b/>
          <w:bCs/>
          <w:color w:val="000000" w:themeColor="text1"/>
          <w:sz w:val="28"/>
        </w:rPr>
        <w:t xml:space="preserve">30 September </w:t>
      </w:r>
      <w:r w:rsidRPr="00C62534">
        <w:rPr>
          <w:b/>
          <w:bCs/>
          <w:color w:val="000000" w:themeColor="text1"/>
          <w:sz w:val="28"/>
        </w:rPr>
        <w:t xml:space="preserve">2025 at 5.00pm </w:t>
      </w:r>
    </w:p>
    <w:p w14:paraId="35A59D0C" w14:textId="77777777" w:rsidR="002A5664" w:rsidRPr="00C62534" w:rsidRDefault="002A5664" w:rsidP="002A5664">
      <w:pPr>
        <w:ind w:right="2552"/>
        <w:rPr>
          <w:b/>
          <w:bCs/>
          <w:color w:val="000000" w:themeColor="text1"/>
          <w:sz w:val="28"/>
          <w:szCs w:val="28"/>
        </w:rPr>
      </w:pPr>
      <w:r w:rsidRPr="00C62534">
        <w:rPr>
          <w:b/>
          <w:bCs/>
          <w:color w:val="000000" w:themeColor="text1"/>
          <w:sz w:val="28"/>
        </w:rPr>
        <w:t xml:space="preserve">in Room </w:t>
      </w:r>
      <w:r>
        <w:rPr>
          <w:b/>
          <w:bCs/>
          <w:color w:val="000000" w:themeColor="text1"/>
          <w:sz w:val="28"/>
        </w:rPr>
        <w:t>A-IS-103 Arbroath</w:t>
      </w:r>
      <w:r w:rsidRPr="00C62534">
        <w:rPr>
          <w:b/>
          <w:bCs/>
          <w:color w:val="000000" w:themeColor="text1"/>
          <w:sz w:val="28"/>
        </w:rPr>
        <w:t xml:space="preserve"> Campus </w:t>
      </w:r>
      <w:r>
        <w:rPr>
          <w:b/>
          <w:bCs/>
          <w:color w:val="000000" w:themeColor="text1"/>
          <w:sz w:val="28"/>
        </w:rPr>
        <w:t>(MS Teams option available)</w:t>
      </w:r>
    </w:p>
    <w:p w14:paraId="73CCA5B7" w14:textId="0CFE64CE" w:rsidR="0040181C" w:rsidRDefault="002A5664" w:rsidP="0040181C">
      <w:pPr>
        <w:spacing w:after="120"/>
        <w:jc w:val="center"/>
        <w:rPr>
          <w:b/>
          <w:sz w:val="28"/>
          <w:szCs w:val="28"/>
        </w:rPr>
      </w:pPr>
      <w:r>
        <w:rPr>
          <w:noProof/>
          <w:lang w:eastAsia="en-GB"/>
        </w:rPr>
        <mc:AlternateContent>
          <mc:Choice Requires="wps">
            <w:drawing>
              <wp:anchor distT="0" distB="0" distL="0" distR="0" simplePos="0" relativeHeight="251660288" behindDoc="1" locked="0" layoutInCell="1" allowOverlap="1" wp14:anchorId="7EE8A106" wp14:editId="3D764D5B">
                <wp:simplePos x="0" y="0"/>
                <wp:positionH relativeFrom="page">
                  <wp:posOffset>632460</wp:posOffset>
                </wp:positionH>
                <wp:positionV relativeFrom="paragraph">
                  <wp:posOffset>14605</wp:posOffset>
                </wp:positionV>
                <wp:extent cx="6424295" cy="0"/>
                <wp:effectExtent l="0" t="0" r="0" b="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429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17540" id="Straight Connector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8pt,1.15pt" to="555.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" strokeweight="1.5pt">
                <w10:wrap type="topAndBottom" anchorx="page"/>
              </v:line>
            </w:pict>
          </mc:Fallback>
        </mc:AlternateContent>
      </w:r>
    </w:p>
    <w:p w14:paraId="64C9D580" w14:textId="77777777" w:rsidR="0040181C" w:rsidRPr="00B56100" w:rsidRDefault="0040181C" w:rsidP="0040181C">
      <w:pPr>
        <w:widowControl w:val="0"/>
        <w:tabs>
          <w:tab w:val="right" w:pos="8789"/>
        </w:tabs>
        <w:autoSpaceDE w:val="0"/>
        <w:autoSpaceDN w:val="0"/>
        <w:rPr>
          <w:rFonts w:eastAsia="Calibri" w:cs="Arial"/>
          <w:b/>
          <w:szCs w:val="22"/>
        </w:rPr>
      </w:pPr>
      <w:r w:rsidRPr="00B56100">
        <w:rPr>
          <w:rFonts w:eastAsia="Calibri" w:cs="Arial"/>
          <w:b/>
          <w:i/>
          <w:szCs w:val="22"/>
        </w:rPr>
        <w:t>Draft</w:t>
      </w:r>
      <w:r>
        <w:rPr>
          <w:rFonts w:eastAsia="Calibri" w:cs="Arial"/>
          <w:b/>
          <w:i/>
          <w:szCs w:val="22"/>
        </w:rPr>
        <w:t xml:space="preserve"> </w:t>
      </w:r>
    </w:p>
    <w:p w14:paraId="2E108F41" w14:textId="77777777" w:rsidR="0040181C" w:rsidRPr="00B56100" w:rsidRDefault="0040181C" w:rsidP="0040181C">
      <w:pPr>
        <w:widowControl w:val="0"/>
        <w:autoSpaceDE w:val="0"/>
        <w:autoSpaceDN w:val="0"/>
        <w:ind w:left="142"/>
        <w:jc w:val="center"/>
        <w:rPr>
          <w:rFonts w:eastAsia="Arial" w:cs="Arial"/>
          <w:b/>
          <w:szCs w:val="22"/>
        </w:rPr>
      </w:pPr>
    </w:p>
    <w:tbl>
      <w:tblPr>
        <w:tblW w:w="10065" w:type="dxa"/>
        <w:tblInd w:w="-142" w:type="dxa"/>
        <w:tblLook w:val="04A0" w:firstRow="1" w:lastRow="0" w:firstColumn="1" w:lastColumn="0" w:noHBand="0" w:noVBand="1"/>
      </w:tblPr>
      <w:tblGrid>
        <w:gridCol w:w="2127"/>
        <w:gridCol w:w="3402"/>
        <w:gridCol w:w="4536"/>
      </w:tblGrid>
      <w:tr w:rsidR="0040181C" w:rsidRPr="008D424A" w14:paraId="5A2B9D48" w14:textId="77777777" w:rsidTr="00E858B1">
        <w:tc>
          <w:tcPr>
            <w:tcW w:w="2127" w:type="dxa"/>
            <w:hideMark/>
          </w:tcPr>
          <w:p w14:paraId="4C547ED7" w14:textId="77777777" w:rsidR="0040181C" w:rsidRPr="008D424A" w:rsidRDefault="0040181C" w:rsidP="00E858B1">
            <w:pPr>
              <w:widowControl w:val="0"/>
              <w:tabs>
                <w:tab w:val="left" w:pos="2160"/>
              </w:tabs>
              <w:autoSpaceDE w:val="0"/>
              <w:autoSpaceDN w:val="0"/>
              <w:spacing w:after="60"/>
              <w:rPr>
                <w:rFonts w:eastAsia="Arial" w:cs="Arial"/>
                <w:b/>
                <w:color w:val="000000" w:themeColor="text1"/>
                <w:szCs w:val="22"/>
              </w:rPr>
            </w:pPr>
            <w:r w:rsidRPr="008D424A">
              <w:rPr>
                <w:rFonts w:eastAsia="Arial" w:cs="Arial"/>
                <w:b/>
                <w:color w:val="000000" w:themeColor="text1"/>
                <w:szCs w:val="22"/>
              </w:rPr>
              <w:t>PRESENT:</w:t>
            </w:r>
          </w:p>
        </w:tc>
        <w:tc>
          <w:tcPr>
            <w:tcW w:w="3402" w:type="dxa"/>
            <w:hideMark/>
          </w:tcPr>
          <w:p w14:paraId="6092C9DB" w14:textId="77777777" w:rsidR="0040181C" w:rsidRPr="002A134E" w:rsidRDefault="0040181C" w:rsidP="00E858B1">
            <w:pPr>
              <w:widowControl w:val="0"/>
              <w:tabs>
                <w:tab w:val="left" w:pos="2160"/>
              </w:tabs>
              <w:autoSpaceDE w:val="0"/>
              <w:autoSpaceDN w:val="0"/>
              <w:spacing w:after="60"/>
              <w:rPr>
                <w:rFonts w:eastAsia="Arial" w:cs="Arial"/>
                <w:color w:val="000000" w:themeColor="text1"/>
                <w:szCs w:val="22"/>
              </w:rPr>
            </w:pPr>
            <w:r w:rsidRPr="002A134E">
              <w:rPr>
                <w:rFonts w:eastAsia="Arial" w:cs="Arial"/>
                <w:color w:val="000000" w:themeColor="text1"/>
                <w:szCs w:val="22"/>
              </w:rPr>
              <w:t>Laurie O’Donnell (Chair)</w:t>
            </w:r>
          </w:p>
          <w:p w14:paraId="7A56C8E5" w14:textId="77777777" w:rsidR="0040181C" w:rsidRPr="00EB7071" w:rsidRDefault="0040181C" w:rsidP="00E858B1">
            <w:pPr>
              <w:spacing w:after="60"/>
              <w:rPr>
                <w:rFonts w:eastAsia="Arial" w:cs="Arial"/>
                <w:color w:val="FF0000"/>
                <w:szCs w:val="22"/>
              </w:rPr>
            </w:pPr>
          </w:p>
        </w:tc>
        <w:tc>
          <w:tcPr>
            <w:tcW w:w="4536" w:type="dxa"/>
            <w:hideMark/>
          </w:tcPr>
          <w:p w14:paraId="6E66006F" w14:textId="77777777" w:rsidR="0040181C" w:rsidRPr="00EB7071" w:rsidRDefault="0040181C" w:rsidP="00E858B1">
            <w:pPr>
              <w:widowControl w:val="0"/>
              <w:tabs>
                <w:tab w:val="left" w:pos="2160"/>
              </w:tabs>
              <w:autoSpaceDE w:val="0"/>
              <w:autoSpaceDN w:val="0"/>
              <w:spacing w:after="60"/>
              <w:rPr>
                <w:rFonts w:eastAsia="Arial" w:cs="Arial"/>
                <w:color w:val="FF0000"/>
                <w:szCs w:val="22"/>
              </w:rPr>
            </w:pPr>
            <w:r w:rsidRPr="00E115E6">
              <w:rPr>
                <w:rFonts w:eastAsia="Arial" w:cs="Arial"/>
                <w:color w:val="000000" w:themeColor="text1"/>
                <w:szCs w:val="22"/>
              </w:rPr>
              <w:t>Simon Hewitt</w:t>
            </w:r>
          </w:p>
        </w:tc>
      </w:tr>
      <w:tr w:rsidR="0040181C" w:rsidRPr="008D424A" w14:paraId="3C09BC49" w14:textId="77777777" w:rsidTr="00E858B1">
        <w:tc>
          <w:tcPr>
            <w:tcW w:w="2127" w:type="dxa"/>
          </w:tcPr>
          <w:p w14:paraId="563DAFD7" w14:textId="77777777" w:rsidR="0040181C" w:rsidRPr="0047146C" w:rsidRDefault="0040181C" w:rsidP="00E858B1">
            <w:pPr>
              <w:widowControl w:val="0"/>
              <w:tabs>
                <w:tab w:val="left" w:pos="2160"/>
              </w:tabs>
              <w:autoSpaceDE w:val="0"/>
              <w:autoSpaceDN w:val="0"/>
              <w:spacing w:after="40"/>
              <w:rPr>
                <w:rFonts w:eastAsia="Arial" w:cs="Arial"/>
                <w:b/>
                <w:color w:val="000000" w:themeColor="text1"/>
                <w:szCs w:val="22"/>
              </w:rPr>
            </w:pPr>
          </w:p>
        </w:tc>
        <w:tc>
          <w:tcPr>
            <w:tcW w:w="3402" w:type="dxa"/>
            <w:hideMark/>
          </w:tcPr>
          <w:p w14:paraId="178FBF66" w14:textId="77777777" w:rsidR="0040181C" w:rsidRPr="0047146C" w:rsidRDefault="0040181C" w:rsidP="00E858B1">
            <w:pPr>
              <w:widowControl w:val="0"/>
              <w:tabs>
                <w:tab w:val="left" w:pos="2160"/>
              </w:tabs>
              <w:autoSpaceDE w:val="0"/>
              <w:autoSpaceDN w:val="0"/>
              <w:spacing w:after="40"/>
              <w:rPr>
                <w:rFonts w:eastAsia="Arial" w:cs="Arial"/>
                <w:color w:val="000000" w:themeColor="text1"/>
                <w:szCs w:val="22"/>
              </w:rPr>
            </w:pPr>
            <w:r w:rsidRPr="0047146C">
              <w:rPr>
                <w:rFonts w:eastAsia="Arial" w:cs="Arial"/>
                <w:color w:val="000000" w:themeColor="text1"/>
                <w:szCs w:val="22"/>
              </w:rPr>
              <w:t>Derek Smith</w:t>
            </w:r>
          </w:p>
        </w:tc>
        <w:tc>
          <w:tcPr>
            <w:tcW w:w="4536" w:type="dxa"/>
          </w:tcPr>
          <w:p w14:paraId="00AE5BF0" w14:textId="0CA694CC" w:rsidR="0040181C" w:rsidRPr="00EB7071" w:rsidRDefault="00EB7071" w:rsidP="00E858B1">
            <w:pPr>
              <w:widowControl w:val="0"/>
              <w:tabs>
                <w:tab w:val="left" w:pos="2160"/>
              </w:tabs>
              <w:autoSpaceDE w:val="0"/>
              <w:autoSpaceDN w:val="0"/>
              <w:spacing w:after="40"/>
              <w:rPr>
                <w:rFonts w:eastAsia="Arial" w:cs="Arial"/>
                <w:color w:val="FF0000"/>
                <w:szCs w:val="22"/>
              </w:rPr>
            </w:pPr>
            <w:r w:rsidRPr="002A134E">
              <w:rPr>
                <w:rFonts w:eastAsia="Arial" w:cs="Arial"/>
                <w:color w:val="000000" w:themeColor="text1"/>
                <w:szCs w:val="22"/>
              </w:rPr>
              <w:t>Carri Cusick</w:t>
            </w:r>
          </w:p>
        </w:tc>
      </w:tr>
      <w:tr w:rsidR="0040181C" w:rsidRPr="008D424A" w14:paraId="584B03AC" w14:textId="77777777" w:rsidTr="00E858B1">
        <w:tc>
          <w:tcPr>
            <w:tcW w:w="2127" w:type="dxa"/>
          </w:tcPr>
          <w:p w14:paraId="5C891BE7" w14:textId="77777777" w:rsidR="0040181C" w:rsidRPr="008D424A" w:rsidRDefault="0040181C" w:rsidP="00E858B1">
            <w:pPr>
              <w:widowControl w:val="0"/>
              <w:tabs>
                <w:tab w:val="left" w:pos="2160"/>
              </w:tabs>
              <w:autoSpaceDE w:val="0"/>
              <w:autoSpaceDN w:val="0"/>
              <w:spacing w:after="60"/>
              <w:rPr>
                <w:rFonts w:eastAsia="Arial" w:cs="Arial"/>
                <w:b/>
                <w:color w:val="000000" w:themeColor="text1"/>
                <w:szCs w:val="22"/>
              </w:rPr>
            </w:pPr>
          </w:p>
        </w:tc>
        <w:tc>
          <w:tcPr>
            <w:tcW w:w="3402" w:type="dxa"/>
            <w:hideMark/>
          </w:tcPr>
          <w:p w14:paraId="13005AFE" w14:textId="77777777" w:rsidR="0040181C" w:rsidRPr="00A82F2F" w:rsidRDefault="0040181C" w:rsidP="00E858B1">
            <w:pPr>
              <w:widowControl w:val="0"/>
              <w:tabs>
                <w:tab w:val="left" w:pos="2160"/>
              </w:tabs>
              <w:autoSpaceDE w:val="0"/>
              <w:autoSpaceDN w:val="0"/>
              <w:spacing w:after="60"/>
              <w:rPr>
                <w:rFonts w:eastAsia="Arial" w:cs="Arial"/>
                <w:color w:val="000000" w:themeColor="text1"/>
                <w:szCs w:val="22"/>
              </w:rPr>
            </w:pPr>
            <w:r w:rsidRPr="006723D6">
              <w:rPr>
                <w:rFonts w:eastAsia="Arial" w:cs="Arial"/>
                <w:color w:val="000000" w:themeColor="text1"/>
                <w:szCs w:val="22"/>
              </w:rPr>
              <w:t>Adele Lawrence</w:t>
            </w:r>
          </w:p>
        </w:tc>
        <w:tc>
          <w:tcPr>
            <w:tcW w:w="4536" w:type="dxa"/>
          </w:tcPr>
          <w:p w14:paraId="0FAF6F3C" w14:textId="77777777" w:rsidR="0040181C" w:rsidRPr="00F41799" w:rsidRDefault="0040181C" w:rsidP="00E858B1">
            <w:pPr>
              <w:widowControl w:val="0"/>
              <w:tabs>
                <w:tab w:val="left" w:pos="2160"/>
              </w:tabs>
              <w:autoSpaceDE w:val="0"/>
              <w:autoSpaceDN w:val="0"/>
              <w:spacing w:after="60"/>
              <w:rPr>
                <w:rFonts w:eastAsia="Arial" w:cs="Arial"/>
                <w:color w:val="FF0000"/>
                <w:szCs w:val="22"/>
              </w:rPr>
            </w:pPr>
            <w:r w:rsidRPr="00DB5F05">
              <w:rPr>
                <w:rFonts w:eastAsia="Arial" w:cs="Arial"/>
                <w:color w:val="000000" w:themeColor="text1"/>
                <w:szCs w:val="22"/>
              </w:rPr>
              <w:t>Robert Young</w:t>
            </w:r>
          </w:p>
        </w:tc>
      </w:tr>
      <w:tr w:rsidR="0040181C" w:rsidRPr="008D424A" w14:paraId="6B043AE4" w14:textId="77777777" w:rsidTr="00E858B1">
        <w:tc>
          <w:tcPr>
            <w:tcW w:w="2127" w:type="dxa"/>
          </w:tcPr>
          <w:p w14:paraId="50D8C423" w14:textId="77777777" w:rsidR="0040181C" w:rsidRPr="008D424A" w:rsidRDefault="0040181C" w:rsidP="00E858B1">
            <w:pPr>
              <w:widowControl w:val="0"/>
              <w:tabs>
                <w:tab w:val="left" w:pos="2160"/>
              </w:tabs>
              <w:autoSpaceDE w:val="0"/>
              <w:autoSpaceDN w:val="0"/>
              <w:spacing w:after="60"/>
              <w:rPr>
                <w:rFonts w:eastAsia="Arial" w:cs="Arial"/>
                <w:b/>
                <w:color w:val="000000" w:themeColor="text1"/>
                <w:szCs w:val="22"/>
              </w:rPr>
            </w:pPr>
          </w:p>
        </w:tc>
        <w:tc>
          <w:tcPr>
            <w:tcW w:w="3402" w:type="dxa"/>
            <w:hideMark/>
          </w:tcPr>
          <w:p w14:paraId="26E946B6" w14:textId="77777777" w:rsidR="0040181C" w:rsidRPr="00F41799" w:rsidRDefault="0040181C" w:rsidP="00E858B1">
            <w:pPr>
              <w:widowControl w:val="0"/>
              <w:tabs>
                <w:tab w:val="left" w:pos="2160"/>
              </w:tabs>
              <w:autoSpaceDE w:val="0"/>
              <w:autoSpaceDN w:val="0"/>
              <w:spacing w:after="60"/>
              <w:rPr>
                <w:rFonts w:eastAsia="Arial" w:cs="Arial"/>
                <w:color w:val="FF0000"/>
                <w:szCs w:val="22"/>
              </w:rPr>
            </w:pPr>
            <w:r w:rsidRPr="001E65EC">
              <w:rPr>
                <w:rFonts w:eastAsia="Arial" w:cs="Arial"/>
                <w:color w:val="000000" w:themeColor="text1"/>
                <w:szCs w:val="22"/>
              </w:rPr>
              <w:t>Brian Lawrie</w:t>
            </w:r>
          </w:p>
        </w:tc>
        <w:tc>
          <w:tcPr>
            <w:tcW w:w="4536" w:type="dxa"/>
          </w:tcPr>
          <w:p w14:paraId="5E4A7F58" w14:textId="6E86B2ED" w:rsidR="0040181C" w:rsidRPr="00A03E00" w:rsidRDefault="00EB7071" w:rsidP="00E858B1">
            <w:pPr>
              <w:widowControl w:val="0"/>
              <w:autoSpaceDE w:val="0"/>
              <w:autoSpaceDN w:val="0"/>
              <w:spacing w:after="60"/>
              <w:rPr>
                <w:rFonts w:eastAsia="Arial" w:cs="Arial"/>
                <w:color w:val="000000" w:themeColor="text1"/>
                <w:szCs w:val="22"/>
              </w:rPr>
            </w:pPr>
            <w:r w:rsidRPr="00A03E00">
              <w:rPr>
                <w:rFonts w:eastAsia="Arial" w:cs="Arial"/>
                <w:color w:val="000000" w:themeColor="text1"/>
                <w:szCs w:val="22"/>
              </w:rPr>
              <w:t>Kelly McIntosh</w:t>
            </w:r>
          </w:p>
        </w:tc>
      </w:tr>
      <w:tr w:rsidR="0040181C" w:rsidRPr="008D424A" w14:paraId="50CF29D9" w14:textId="77777777" w:rsidTr="00E858B1">
        <w:tc>
          <w:tcPr>
            <w:tcW w:w="2127" w:type="dxa"/>
          </w:tcPr>
          <w:p w14:paraId="1C543A8F" w14:textId="77777777" w:rsidR="0040181C" w:rsidRPr="008D424A" w:rsidRDefault="0040181C" w:rsidP="00E858B1">
            <w:pPr>
              <w:widowControl w:val="0"/>
              <w:tabs>
                <w:tab w:val="left" w:pos="2160"/>
              </w:tabs>
              <w:autoSpaceDE w:val="0"/>
              <w:autoSpaceDN w:val="0"/>
              <w:spacing w:after="60"/>
              <w:rPr>
                <w:rFonts w:eastAsia="Arial" w:cs="Arial"/>
                <w:b/>
                <w:color w:val="000000" w:themeColor="text1"/>
                <w:szCs w:val="22"/>
              </w:rPr>
            </w:pPr>
          </w:p>
        </w:tc>
        <w:tc>
          <w:tcPr>
            <w:tcW w:w="3402" w:type="dxa"/>
            <w:hideMark/>
          </w:tcPr>
          <w:p w14:paraId="665751FE" w14:textId="77777777" w:rsidR="0040181C" w:rsidRPr="00EB7071" w:rsidRDefault="0040181C" w:rsidP="00E858B1">
            <w:pPr>
              <w:widowControl w:val="0"/>
              <w:tabs>
                <w:tab w:val="left" w:pos="2160"/>
              </w:tabs>
              <w:autoSpaceDE w:val="0"/>
              <w:autoSpaceDN w:val="0"/>
              <w:spacing w:after="60"/>
              <w:rPr>
                <w:rFonts w:eastAsia="Arial" w:cs="Arial"/>
                <w:color w:val="FF0000"/>
                <w:szCs w:val="22"/>
              </w:rPr>
            </w:pPr>
            <w:r w:rsidRPr="00924906">
              <w:rPr>
                <w:rFonts w:eastAsia="Arial" w:cs="Arial"/>
                <w:color w:val="000000" w:themeColor="text1"/>
                <w:szCs w:val="22"/>
              </w:rPr>
              <w:t>Ged Bell</w:t>
            </w:r>
          </w:p>
        </w:tc>
        <w:tc>
          <w:tcPr>
            <w:tcW w:w="4536" w:type="dxa"/>
          </w:tcPr>
          <w:p w14:paraId="3EF17981" w14:textId="77777777" w:rsidR="0040181C" w:rsidRPr="00915B3F" w:rsidRDefault="0040181C" w:rsidP="00E858B1">
            <w:pPr>
              <w:widowControl w:val="0"/>
              <w:tabs>
                <w:tab w:val="left" w:pos="2160"/>
              </w:tabs>
              <w:autoSpaceDE w:val="0"/>
              <w:autoSpaceDN w:val="0"/>
              <w:spacing w:after="60"/>
              <w:rPr>
                <w:rFonts w:eastAsia="Arial" w:cs="Arial"/>
                <w:color w:val="000000" w:themeColor="text1"/>
                <w:szCs w:val="22"/>
              </w:rPr>
            </w:pPr>
            <w:r w:rsidRPr="00915B3F">
              <w:rPr>
                <w:rFonts w:eastAsia="Arial" w:cs="Arial"/>
                <w:color w:val="000000" w:themeColor="text1"/>
                <w:szCs w:val="22"/>
              </w:rPr>
              <w:t>Helen Honeyman</w:t>
            </w:r>
          </w:p>
        </w:tc>
      </w:tr>
      <w:tr w:rsidR="0040181C" w:rsidRPr="008D424A" w14:paraId="40D2DCE9" w14:textId="77777777" w:rsidTr="00E858B1">
        <w:tc>
          <w:tcPr>
            <w:tcW w:w="2127" w:type="dxa"/>
          </w:tcPr>
          <w:p w14:paraId="36853775" w14:textId="77777777" w:rsidR="0040181C" w:rsidRPr="008D424A" w:rsidRDefault="0040181C" w:rsidP="00E858B1">
            <w:pPr>
              <w:widowControl w:val="0"/>
              <w:tabs>
                <w:tab w:val="left" w:pos="2160"/>
              </w:tabs>
              <w:autoSpaceDE w:val="0"/>
              <w:autoSpaceDN w:val="0"/>
              <w:spacing w:after="60"/>
              <w:rPr>
                <w:rFonts w:eastAsia="Arial" w:cs="Arial"/>
                <w:b/>
                <w:color w:val="000000" w:themeColor="text1"/>
                <w:szCs w:val="22"/>
              </w:rPr>
            </w:pPr>
          </w:p>
        </w:tc>
        <w:tc>
          <w:tcPr>
            <w:tcW w:w="3402" w:type="dxa"/>
          </w:tcPr>
          <w:p w14:paraId="2FAD643D" w14:textId="77777777" w:rsidR="0040181C" w:rsidRPr="00A03E00" w:rsidRDefault="0040181C" w:rsidP="00E858B1">
            <w:pPr>
              <w:widowControl w:val="0"/>
              <w:tabs>
                <w:tab w:val="left" w:pos="2160"/>
              </w:tabs>
              <w:autoSpaceDE w:val="0"/>
              <w:autoSpaceDN w:val="0"/>
              <w:spacing w:after="60"/>
              <w:rPr>
                <w:rFonts w:eastAsia="Arial" w:cs="Arial"/>
                <w:color w:val="000000" w:themeColor="text1"/>
                <w:szCs w:val="22"/>
              </w:rPr>
            </w:pPr>
            <w:r w:rsidRPr="00A03E00">
              <w:rPr>
                <w:rFonts w:eastAsia="Arial" w:cs="Arial"/>
                <w:color w:val="000000" w:themeColor="text1"/>
                <w:szCs w:val="22"/>
              </w:rPr>
              <w:t xml:space="preserve">Donald Mackenzie </w:t>
            </w:r>
          </w:p>
        </w:tc>
        <w:tc>
          <w:tcPr>
            <w:tcW w:w="4536" w:type="dxa"/>
          </w:tcPr>
          <w:p w14:paraId="29EB3EBF" w14:textId="77777777" w:rsidR="0040181C" w:rsidRPr="009C7714" w:rsidRDefault="0040181C" w:rsidP="00E858B1">
            <w:pPr>
              <w:widowControl w:val="0"/>
              <w:tabs>
                <w:tab w:val="left" w:pos="2160"/>
              </w:tabs>
              <w:autoSpaceDE w:val="0"/>
              <w:autoSpaceDN w:val="0"/>
              <w:spacing w:after="60"/>
              <w:rPr>
                <w:rFonts w:eastAsia="Arial" w:cs="Arial"/>
                <w:color w:val="000000" w:themeColor="text1"/>
                <w:szCs w:val="22"/>
              </w:rPr>
            </w:pPr>
            <w:r w:rsidRPr="009C7714">
              <w:rPr>
                <w:rFonts w:eastAsia="Arial" w:cs="Arial"/>
                <w:color w:val="000000" w:themeColor="text1"/>
                <w:szCs w:val="22"/>
              </w:rPr>
              <w:t>Stephen Oakley</w:t>
            </w:r>
          </w:p>
        </w:tc>
      </w:tr>
      <w:tr w:rsidR="0040181C" w:rsidRPr="008D424A" w14:paraId="09C893EC" w14:textId="77777777" w:rsidTr="00E858B1">
        <w:tc>
          <w:tcPr>
            <w:tcW w:w="2127" w:type="dxa"/>
          </w:tcPr>
          <w:p w14:paraId="7471A0F8" w14:textId="77777777" w:rsidR="0040181C" w:rsidRPr="008D424A" w:rsidRDefault="0040181C" w:rsidP="00E858B1">
            <w:pPr>
              <w:widowControl w:val="0"/>
              <w:tabs>
                <w:tab w:val="left" w:pos="2160"/>
              </w:tabs>
              <w:autoSpaceDE w:val="0"/>
              <w:autoSpaceDN w:val="0"/>
              <w:spacing w:after="60"/>
              <w:rPr>
                <w:rFonts w:eastAsia="Arial" w:cs="Arial"/>
                <w:b/>
                <w:color w:val="000000" w:themeColor="text1"/>
                <w:szCs w:val="22"/>
              </w:rPr>
            </w:pPr>
          </w:p>
        </w:tc>
        <w:tc>
          <w:tcPr>
            <w:tcW w:w="3402" w:type="dxa"/>
          </w:tcPr>
          <w:p w14:paraId="4639517D" w14:textId="5B1F9753" w:rsidR="0040181C" w:rsidRPr="00481273" w:rsidRDefault="00EB7071" w:rsidP="00E858B1">
            <w:pPr>
              <w:widowControl w:val="0"/>
              <w:tabs>
                <w:tab w:val="left" w:pos="2160"/>
              </w:tabs>
              <w:autoSpaceDE w:val="0"/>
              <w:autoSpaceDN w:val="0"/>
              <w:spacing w:after="60"/>
              <w:rPr>
                <w:rFonts w:eastAsia="Arial" w:cs="Arial"/>
                <w:color w:val="000000" w:themeColor="text1"/>
                <w:szCs w:val="22"/>
              </w:rPr>
            </w:pPr>
            <w:r w:rsidRPr="00481273">
              <w:rPr>
                <w:rFonts w:eastAsia="Arial" w:cs="Arial"/>
                <w:color w:val="000000" w:themeColor="text1"/>
                <w:szCs w:val="22"/>
              </w:rPr>
              <w:t>Kirsten Marsh</w:t>
            </w:r>
          </w:p>
        </w:tc>
        <w:tc>
          <w:tcPr>
            <w:tcW w:w="4536" w:type="dxa"/>
          </w:tcPr>
          <w:p w14:paraId="1FF80AF1" w14:textId="77777777" w:rsidR="0040181C" w:rsidRPr="007E4104" w:rsidRDefault="0040181C" w:rsidP="00E858B1">
            <w:pPr>
              <w:widowControl w:val="0"/>
              <w:tabs>
                <w:tab w:val="left" w:pos="2160"/>
              </w:tabs>
              <w:autoSpaceDE w:val="0"/>
              <w:autoSpaceDN w:val="0"/>
              <w:spacing w:after="60"/>
              <w:rPr>
                <w:rFonts w:eastAsia="Arial" w:cs="Arial"/>
                <w:color w:val="000000" w:themeColor="text1"/>
                <w:szCs w:val="22"/>
              </w:rPr>
            </w:pPr>
            <w:r w:rsidRPr="00DB5F05">
              <w:rPr>
                <w:rFonts w:eastAsia="Arial" w:cs="Arial"/>
                <w:color w:val="000000" w:themeColor="text1"/>
                <w:szCs w:val="22"/>
              </w:rPr>
              <w:t>Brian Mooney</w:t>
            </w:r>
          </w:p>
        </w:tc>
      </w:tr>
      <w:tr w:rsidR="0040181C" w:rsidRPr="008D424A" w14:paraId="2D735B67" w14:textId="77777777" w:rsidTr="00E858B1">
        <w:tc>
          <w:tcPr>
            <w:tcW w:w="2127" w:type="dxa"/>
          </w:tcPr>
          <w:p w14:paraId="6EDF8C70" w14:textId="77777777" w:rsidR="0040181C" w:rsidRPr="008D424A" w:rsidRDefault="0040181C" w:rsidP="00E858B1">
            <w:pPr>
              <w:widowControl w:val="0"/>
              <w:tabs>
                <w:tab w:val="left" w:pos="2160"/>
              </w:tabs>
              <w:autoSpaceDE w:val="0"/>
              <w:autoSpaceDN w:val="0"/>
              <w:spacing w:after="60"/>
              <w:rPr>
                <w:rFonts w:eastAsia="Arial" w:cs="Arial"/>
                <w:b/>
                <w:color w:val="000000" w:themeColor="text1"/>
                <w:szCs w:val="22"/>
              </w:rPr>
            </w:pPr>
          </w:p>
        </w:tc>
        <w:tc>
          <w:tcPr>
            <w:tcW w:w="3402" w:type="dxa"/>
          </w:tcPr>
          <w:p w14:paraId="111B9E60" w14:textId="5425CA69" w:rsidR="00EB7071" w:rsidRPr="00EB7071" w:rsidRDefault="0040181C" w:rsidP="00811C55">
            <w:pPr>
              <w:widowControl w:val="0"/>
              <w:tabs>
                <w:tab w:val="left" w:pos="2160"/>
              </w:tabs>
              <w:autoSpaceDE w:val="0"/>
              <w:autoSpaceDN w:val="0"/>
              <w:spacing w:after="60"/>
              <w:rPr>
                <w:rFonts w:eastAsia="Arial" w:cs="Arial"/>
                <w:color w:val="000000" w:themeColor="text1"/>
                <w:szCs w:val="22"/>
              </w:rPr>
            </w:pPr>
            <w:r w:rsidRPr="00DB5F05">
              <w:rPr>
                <w:rFonts w:eastAsia="Arial" w:cs="Arial"/>
                <w:color w:val="000000" w:themeColor="text1"/>
                <w:szCs w:val="22"/>
              </w:rPr>
              <w:t>Richard Gordon</w:t>
            </w:r>
          </w:p>
        </w:tc>
        <w:tc>
          <w:tcPr>
            <w:tcW w:w="4536" w:type="dxa"/>
          </w:tcPr>
          <w:p w14:paraId="6B977BC0" w14:textId="6E8E5F84" w:rsidR="00EB7071" w:rsidRPr="00F41799" w:rsidRDefault="00811C55" w:rsidP="00EB7071">
            <w:pPr>
              <w:widowControl w:val="0"/>
              <w:tabs>
                <w:tab w:val="left" w:pos="2160"/>
              </w:tabs>
              <w:autoSpaceDE w:val="0"/>
              <w:autoSpaceDN w:val="0"/>
              <w:spacing w:after="60"/>
              <w:rPr>
                <w:rFonts w:eastAsia="Arial" w:cs="Arial"/>
                <w:color w:val="FF0000"/>
                <w:szCs w:val="22"/>
              </w:rPr>
            </w:pPr>
            <w:r w:rsidRPr="00924906">
              <w:rPr>
                <w:rFonts w:eastAsia="Arial" w:cs="Arial"/>
                <w:color w:val="000000" w:themeColor="text1"/>
                <w:szCs w:val="22"/>
              </w:rPr>
              <w:t>Connor Pithie</w:t>
            </w:r>
          </w:p>
        </w:tc>
      </w:tr>
    </w:tbl>
    <w:p w14:paraId="4A04FA89" w14:textId="77777777" w:rsidR="0040181C" w:rsidRPr="00B56100" w:rsidRDefault="0040181C" w:rsidP="00EB7071">
      <w:pPr>
        <w:widowControl w:val="0"/>
        <w:tabs>
          <w:tab w:val="left" w:pos="2160"/>
        </w:tabs>
        <w:autoSpaceDE w:val="0"/>
        <w:autoSpaceDN w:val="0"/>
        <w:rPr>
          <w:rFonts w:eastAsia="Arial" w:cs="Arial"/>
          <w:szCs w:val="22"/>
        </w:rPr>
      </w:pPr>
    </w:p>
    <w:tbl>
      <w:tblPr>
        <w:tblW w:w="10065" w:type="dxa"/>
        <w:tblInd w:w="-142" w:type="dxa"/>
        <w:tblLook w:val="04A0" w:firstRow="1" w:lastRow="0" w:firstColumn="1" w:lastColumn="0" w:noHBand="0" w:noVBand="1"/>
      </w:tblPr>
      <w:tblGrid>
        <w:gridCol w:w="2127"/>
        <w:gridCol w:w="7938"/>
      </w:tblGrid>
      <w:tr w:rsidR="0040181C" w:rsidRPr="00B56100" w14:paraId="458A72AA" w14:textId="77777777" w:rsidTr="00E858B1">
        <w:trPr>
          <w:trHeight w:val="60"/>
        </w:trPr>
        <w:tc>
          <w:tcPr>
            <w:tcW w:w="2127" w:type="dxa"/>
            <w:hideMark/>
          </w:tcPr>
          <w:p w14:paraId="3C0C4538" w14:textId="023E4712" w:rsidR="0040181C" w:rsidRPr="00B56100" w:rsidRDefault="00CD01F0" w:rsidP="00E858B1">
            <w:pPr>
              <w:widowControl w:val="0"/>
              <w:tabs>
                <w:tab w:val="left" w:pos="2160"/>
              </w:tabs>
              <w:autoSpaceDE w:val="0"/>
              <w:autoSpaceDN w:val="0"/>
              <w:spacing w:after="40"/>
              <w:rPr>
                <w:rFonts w:eastAsia="Arial" w:cs="Arial"/>
                <w:b/>
                <w:szCs w:val="22"/>
              </w:rPr>
            </w:pPr>
            <w:r>
              <w:rPr>
                <w:rFonts w:eastAsia="Arial" w:cs="Arial"/>
                <w:b/>
                <w:szCs w:val="22"/>
              </w:rPr>
              <w:t>I</w:t>
            </w:r>
            <w:r w:rsidR="0040181C" w:rsidRPr="00B56100">
              <w:rPr>
                <w:rFonts w:eastAsia="Arial" w:cs="Arial"/>
                <w:b/>
                <w:szCs w:val="22"/>
              </w:rPr>
              <w:t>N ATTENDANCE:</w:t>
            </w:r>
          </w:p>
        </w:tc>
        <w:tc>
          <w:tcPr>
            <w:tcW w:w="7938" w:type="dxa"/>
            <w:hideMark/>
          </w:tcPr>
          <w:p w14:paraId="3DC83AF4" w14:textId="77777777" w:rsidR="0040181C" w:rsidRPr="00E115E6" w:rsidRDefault="0040181C" w:rsidP="00E858B1">
            <w:pPr>
              <w:widowControl w:val="0"/>
              <w:tabs>
                <w:tab w:val="left" w:pos="2160"/>
              </w:tabs>
              <w:autoSpaceDE w:val="0"/>
              <w:autoSpaceDN w:val="0"/>
              <w:spacing w:after="40"/>
              <w:rPr>
                <w:rFonts w:eastAsia="Arial" w:cs="Arial"/>
                <w:color w:val="000000" w:themeColor="text1"/>
                <w:szCs w:val="22"/>
              </w:rPr>
            </w:pPr>
            <w:r w:rsidRPr="00E115E6">
              <w:rPr>
                <w:rFonts w:eastAsia="Arial" w:cs="Arial"/>
                <w:color w:val="000000" w:themeColor="text1"/>
                <w:szCs w:val="22"/>
              </w:rPr>
              <w:t>Julie Grace (Vice Principal Curriculum and Partnerships)</w:t>
            </w:r>
          </w:p>
        </w:tc>
      </w:tr>
      <w:tr w:rsidR="0040181C" w:rsidRPr="00B56100" w14:paraId="1075B798" w14:textId="77777777" w:rsidTr="00E858B1">
        <w:trPr>
          <w:trHeight w:val="242"/>
        </w:trPr>
        <w:tc>
          <w:tcPr>
            <w:tcW w:w="2127" w:type="dxa"/>
          </w:tcPr>
          <w:p w14:paraId="6B5DBD4B" w14:textId="77777777" w:rsidR="0040181C" w:rsidRPr="00B56100" w:rsidRDefault="0040181C" w:rsidP="00E858B1">
            <w:pPr>
              <w:widowControl w:val="0"/>
              <w:tabs>
                <w:tab w:val="left" w:pos="2160"/>
              </w:tabs>
              <w:autoSpaceDE w:val="0"/>
              <w:autoSpaceDN w:val="0"/>
              <w:spacing w:after="40"/>
              <w:rPr>
                <w:rFonts w:eastAsia="Arial" w:cs="Arial"/>
                <w:b/>
                <w:szCs w:val="22"/>
              </w:rPr>
            </w:pPr>
          </w:p>
        </w:tc>
        <w:tc>
          <w:tcPr>
            <w:tcW w:w="7938" w:type="dxa"/>
            <w:hideMark/>
          </w:tcPr>
          <w:p w14:paraId="0633E8C6" w14:textId="46A964BA" w:rsidR="00DB5F05" w:rsidRPr="00EB7071" w:rsidRDefault="0040181C" w:rsidP="00811C55">
            <w:pPr>
              <w:widowControl w:val="0"/>
              <w:tabs>
                <w:tab w:val="left" w:pos="2790"/>
              </w:tabs>
              <w:autoSpaceDE w:val="0"/>
              <w:autoSpaceDN w:val="0"/>
              <w:spacing w:after="40"/>
              <w:rPr>
                <w:rFonts w:eastAsia="Arial" w:cs="Arial"/>
                <w:color w:val="FF0000"/>
                <w:szCs w:val="22"/>
              </w:rPr>
            </w:pPr>
            <w:r w:rsidRPr="0047146C">
              <w:rPr>
                <w:rFonts w:eastAsia="Arial" w:cs="Arial"/>
                <w:color w:val="000000" w:themeColor="text1"/>
                <w:szCs w:val="22"/>
              </w:rPr>
              <w:t>Steve Taylor (Vice Principal Support Services and Operations)</w:t>
            </w:r>
          </w:p>
        </w:tc>
      </w:tr>
      <w:tr w:rsidR="00811C55" w:rsidRPr="00B56100" w14:paraId="1D33CA0F" w14:textId="77777777" w:rsidTr="00E858B1">
        <w:trPr>
          <w:trHeight w:val="242"/>
        </w:trPr>
        <w:tc>
          <w:tcPr>
            <w:tcW w:w="2127" w:type="dxa"/>
          </w:tcPr>
          <w:p w14:paraId="11DBB7B3" w14:textId="77777777" w:rsidR="00811C55" w:rsidRPr="00B56100" w:rsidRDefault="00811C55" w:rsidP="00E858B1">
            <w:pPr>
              <w:widowControl w:val="0"/>
              <w:tabs>
                <w:tab w:val="left" w:pos="2160"/>
              </w:tabs>
              <w:autoSpaceDE w:val="0"/>
              <w:autoSpaceDN w:val="0"/>
              <w:spacing w:after="40"/>
              <w:rPr>
                <w:rFonts w:eastAsia="Arial" w:cs="Arial"/>
                <w:b/>
                <w:szCs w:val="22"/>
              </w:rPr>
            </w:pPr>
          </w:p>
        </w:tc>
        <w:tc>
          <w:tcPr>
            <w:tcW w:w="7938" w:type="dxa"/>
          </w:tcPr>
          <w:p w14:paraId="35231044" w14:textId="413E9200" w:rsidR="00811C55" w:rsidRPr="0047146C" w:rsidRDefault="00811C55" w:rsidP="00E858B1">
            <w:pPr>
              <w:widowControl w:val="0"/>
              <w:tabs>
                <w:tab w:val="left" w:pos="2790"/>
              </w:tabs>
              <w:autoSpaceDE w:val="0"/>
              <w:autoSpaceDN w:val="0"/>
              <w:spacing w:after="40"/>
              <w:rPr>
                <w:rFonts w:eastAsia="Arial" w:cs="Arial"/>
                <w:color w:val="000000" w:themeColor="text1"/>
                <w:szCs w:val="22"/>
              </w:rPr>
            </w:pPr>
            <w:r w:rsidRPr="002A134E">
              <w:rPr>
                <w:rFonts w:eastAsia="Arial" w:cs="Arial"/>
                <w:color w:val="000000" w:themeColor="text1"/>
                <w:szCs w:val="22"/>
              </w:rPr>
              <w:t>Nicky Anderson</w:t>
            </w:r>
            <w:r>
              <w:rPr>
                <w:rFonts w:eastAsia="Arial" w:cs="Arial"/>
                <w:color w:val="000000" w:themeColor="text1"/>
                <w:szCs w:val="22"/>
              </w:rPr>
              <w:t xml:space="preserve"> (Director of Finance)</w:t>
            </w:r>
          </w:p>
        </w:tc>
      </w:tr>
      <w:tr w:rsidR="00F1079D" w:rsidRPr="00924906" w14:paraId="5F728A4E" w14:textId="77777777" w:rsidTr="008B2D86">
        <w:trPr>
          <w:trHeight w:val="270"/>
        </w:trPr>
        <w:tc>
          <w:tcPr>
            <w:tcW w:w="2127" w:type="dxa"/>
          </w:tcPr>
          <w:p w14:paraId="0F10F686" w14:textId="77777777" w:rsidR="00F1079D" w:rsidRPr="00924906" w:rsidRDefault="00F1079D" w:rsidP="00E858B1">
            <w:pPr>
              <w:widowControl w:val="0"/>
              <w:tabs>
                <w:tab w:val="left" w:pos="2160"/>
              </w:tabs>
              <w:autoSpaceDE w:val="0"/>
              <w:autoSpaceDN w:val="0"/>
              <w:spacing w:after="40"/>
              <w:rPr>
                <w:rFonts w:eastAsia="Arial" w:cs="Arial"/>
                <w:b/>
                <w:color w:val="000000" w:themeColor="text1"/>
                <w:szCs w:val="22"/>
              </w:rPr>
            </w:pPr>
          </w:p>
        </w:tc>
        <w:tc>
          <w:tcPr>
            <w:tcW w:w="7938" w:type="dxa"/>
          </w:tcPr>
          <w:p w14:paraId="365E6C6E" w14:textId="65463E6D" w:rsidR="00F1079D" w:rsidRPr="00924906" w:rsidRDefault="00F1079D" w:rsidP="00E858B1">
            <w:pPr>
              <w:widowControl w:val="0"/>
              <w:tabs>
                <w:tab w:val="left" w:pos="2790"/>
              </w:tabs>
              <w:autoSpaceDE w:val="0"/>
              <w:autoSpaceDN w:val="0"/>
              <w:spacing w:after="40"/>
              <w:rPr>
                <w:rFonts w:eastAsia="Arial" w:cs="Arial"/>
                <w:color w:val="000000" w:themeColor="text1"/>
                <w:szCs w:val="22"/>
              </w:rPr>
            </w:pPr>
            <w:r w:rsidRPr="00924906">
              <w:rPr>
                <w:rFonts w:eastAsia="Arial" w:cs="Arial"/>
                <w:color w:val="000000" w:themeColor="text1"/>
                <w:szCs w:val="22"/>
              </w:rPr>
              <w:t>Penny Muir (Board Administrator)</w:t>
            </w:r>
          </w:p>
        </w:tc>
      </w:tr>
    </w:tbl>
    <w:p w14:paraId="01BCF8F8" w14:textId="77777777" w:rsidR="002A5664" w:rsidRDefault="002A5664" w:rsidP="002A5664">
      <w:pPr>
        <w:rPr>
          <w:b/>
          <w:szCs w:val="22"/>
        </w:rPr>
      </w:pPr>
    </w:p>
    <w:p w14:paraId="4E604946" w14:textId="77777777" w:rsidR="002A5664" w:rsidRPr="00073CE1" w:rsidRDefault="002A5664" w:rsidP="002A5664">
      <w:pPr>
        <w:rPr>
          <w:szCs w:val="22"/>
        </w:rPr>
      </w:pP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497"/>
      </w:tblGrid>
      <w:tr w:rsidR="00811C55" w14:paraId="5780B708" w14:textId="77777777" w:rsidTr="00811C55">
        <w:trPr>
          <w:trHeight w:val="381"/>
        </w:trPr>
        <w:tc>
          <w:tcPr>
            <w:tcW w:w="568" w:type="dxa"/>
          </w:tcPr>
          <w:p w14:paraId="5EE7DB98"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52009AFA" w14:textId="77777777" w:rsidR="00811C55" w:rsidRDefault="00811C55" w:rsidP="00646F50">
            <w:pPr>
              <w:rPr>
                <w:b/>
                <w:szCs w:val="22"/>
              </w:rPr>
            </w:pPr>
            <w:r>
              <w:rPr>
                <w:b/>
                <w:szCs w:val="22"/>
              </w:rPr>
              <w:t xml:space="preserve">WELCOME </w:t>
            </w:r>
          </w:p>
          <w:p w14:paraId="2D4A4CA6" w14:textId="77777777" w:rsidR="00811C55" w:rsidRDefault="00811C55" w:rsidP="00646F50">
            <w:pPr>
              <w:rPr>
                <w:b/>
                <w:szCs w:val="22"/>
              </w:rPr>
            </w:pPr>
          </w:p>
          <w:p w14:paraId="7DA6C92F" w14:textId="7C427424" w:rsidR="00811C55" w:rsidRDefault="00811C55" w:rsidP="00646F50">
            <w:pPr>
              <w:rPr>
                <w:b/>
                <w:szCs w:val="22"/>
              </w:rPr>
            </w:pPr>
            <w:r w:rsidRPr="00790D92">
              <w:rPr>
                <w:szCs w:val="22"/>
              </w:rPr>
              <w:t>L O’Donnell welcomed all attendees to the Board of Management Meeting</w:t>
            </w:r>
            <w:r>
              <w:rPr>
                <w:szCs w:val="22"/>
              </w:rPr>
              <w:t>.</w:t>
            </w:r>
          </w:p>
          <w:p w14:paraId="7FE035E6" w14:textId="77777777" w:rsidR="00811C55" w:rsidRPr="008537EA" w:rsidRDefault="00811C55" w:rsidP="00646F50">
            <w:pPr>
              <w:rPr>
                <w:sz w:val="20"/>
              </w:rPr>
            </w:pPr>
          </w:p>
        </w:tc>
      </w:tr>
      <w:tr w:rsidR="00811C55" w14:paraId="186E498B" w14:textId="77777777" w:rsidTr="00811C55">
        <w:trPr>
          <w:trHeight w:val="443"/>
        </w:trPr>
        <w:tc>
          <w:tcPr>
            <w:tcW w:w="568" w:type="dxa"/>
          </w:tcPr>
          <w:p w14:paraId="7FFA9F1F"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48929471" w14:textId="77777777" w:rsidR="00811C55" w:rsidRDefault="00811C55" w:rsidP="00646F50">
            <w:pPr>
              <w:rPr>
                <w:b/>
                <w:szCs w:val="22"/>
              </w:rPr>
            </w:pPr>
            <w:r w:rsidRPr="006F736B">
              <w:rPr>
                <w:b/>
                <w:szCs w:val="22"/>
              </w:rPr>
              <w:t>APOLOGIES</w:t>
            </w:r>
          </w:p>
          <w:p w14:paraId="00C58497" w14:textId="77777777" w:rsidR="00811C55" w:rsidRDefault="00811C55" w:rsidP="00646F50">
            <w:pPr>
              <w:rPr>
                <w:b/>
                <w:szCs w:val="22"/>
              </w:rPr>
            </w:pPr>
          </w:p>
          <w:p w14:paraId="0F10330A" w14:textId="402CC025" w:rsidR="00811C55" w:rsidRDefault="00811C55" w:rsidP="00646F50">
            <w:pPr>
              <w:rPr>
                <w:rFonts w:cs="Arial"/>
                <w:bCs/>
                <w:szCs w:val="22"/>
              </w:rPr>
            </w:pPr>
            <w:r w:rsidRPr="00310552">
              <w:rPr>
                <w:rFonts w:cs="Arial"/>
                <w:bCs/>
                <w:szCs w:val="22"/>
              </w:rPr>
              <w:t xml:space="preserve">Apologies were received from </w:t>
            </w:r>
            <w:r>
              <w:rPr>
                <w:rFonts w:cs="Arial"/>
                <w:bCs/>
                <w:szCs w:val="22"/>
              </w:rPr>
              <w:t>N Lowden and C Smith.</w:t>
            </w:r>
          </w:p>
          <w:p w14:paraId="4CB753B5" w14:textId="77777777" w:rsidR="00811C55" w:rsidRDefault="00811C55" w:rsidP="00646F50">
            <w:pPr>
              <w:rPr>
                <w:b/>
                <w:szCs w:val="22"/>
              </w:rPr>
            </w:pPr>
          </w:p>
        </w:tc>
      </w:tr>
      <w:tr w:rsidR="00811C55" w14:paraId="6822817B" w14:textId="77777777" w:rsidTr="00811C55">
        <w:trPr>
          <w:trHeight w:val="319"/>
        </w:trPr>
        <w:tc>
          <w:tcPr>
            <w:tcW w:w="568" w:type="dxa"/>
          </w:tcPr>
          <w:p w14:paraId="5A08101E"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74560DE8" w14:textId="77777777" w:rsidR="00811C55" w:rsidRDefault="00811C55" w:rsidP="00646F50">
            <w:pPr>
              <w:rPr>
                <w:b/>
                <w:bCs/>
              </w:rPr>
            </w:pPr>
            <w:r>
              <w:rPr>
                <w:b/>
                <w:bCs/>
              </w:rPr>
              <w:t>DECLARATIONS OF INTEREST OR CONNECTION</w:t>
            </w:r>
          </w:p>
          <w:p w14:paraId="7C5C35E5" w14:textId="77777777" w:rsidR="00292EBE" w:rsidRDefault="00292EBE" w:rsidP="00646F50">
            <w:pPr>
              <w:rPr>
                <w:b/>
                <w:bCs/>
              </w:rPr>
            </w:pPr>
          </w:p>
          <w:p w14:paraId="4C118D60" w14:textId="5BAFFA00" w:rsidR="00811C55" w:rsidRDefault="00811C55" w:rsidP="00646F50">
            <w:pPr>
              <w:rPr>
                <w:rFonts w:cs="Arial"/>
                <w:szCs w:val="22"/>
              </w:rPr>
            </w:pPr>
            <w:r w:rsidRPr="0037051F">
              <w:rPr>
                <w:rFonts w:cs="Arial"/>
                <w:szCs w:val="22"/>
              </w:rPr>
              <w:t>S Taylor declared an interest in item 16 on the agenda</w:t>
            </w:r>
            <w:r>
              <w:rPr>
                <w:rFonts w:cs="Arial"/>
                <w:szCs w:val="22"/>
              </w:rPr>
              <w:t xml:space="preserve"> and withdrew from the meeting for this item</w:t>
            </w:r>
            <w:r w:rsidRPr="0037051F">
              <w:rPr>
                <w:rFonts w:cs="Arial"/>
                <w:szCs w:val="22"/>
              </w:rPr>
              <w:t>.</w:t>
            </w:r>
          </w:p>
          <w:p w14:paraId="4B7EAB80" w14:textId="77777777" w:rsidR="00F1079D" w:rsidRDefault="00F1079D" w:rsidP="00646F50">
            <w:pPr>
              <w:rPr>
                <w:rFonts w:cs="Arial"/>
                <w:szCs w:val="22"/>
              </w:rPr>
            </w:pPr>
          </w:p>
          <w:p w14:paraId="18B3CE5B" w14:textId="2894F1B9" w:rsidR="00F1079D" w:rsidRDefault="00F1079D" w:rsidP="00646F50">
            <w:pPr>
              <w:rPr>
                <w:rFonts w:cs="Arial"/>
                <w:szCs w:val="22"/>
              </w:rPr>
            </w:pPr>
            <w:r>
              <w:rPr>
                <w:rFonts w:cs="Arial"/>
                <w:szCs w:val="22"/>
              </w:rPr>
              <w:t>L O’Donnell noted the potential conflict for staff and student members in respect of</w:t>
            </w:r>
            <w:r w:rsidR="00B07CE8">
              <w:rPr>
                <w:rFonts w:cs="Arial"/>
                <w:szCs w:val="22"/>
              </w:rPr>
              <w:t xml:space="preserve"> agenda</w:t>
            </w:r>
            <w:r>
              <w:rPr>
                <w:rFonts w:cs="Arial"/>
                <w:szCs w:val="22"/>
              </w:rPr>
              <w:t xml:space="preserve"> items 12.1 and 12.2 and that this would be picked up </w:t>
            </w:r>
            <w:r w:rsidR="00DE501B">
              <w:rPr>
                <w:rFonts w:cs="Arial"/>
                <w:szCs w:val="22"/>
              </w:rPr>
              <w:t>under these if required.</w:t>
            </w:r>
          </w:p>
          <w:p w14:paraId="2B5A27CF" w14:textId="77777777" w:rsidR="001C6AA3" w:rsidRDefault="001C6AA3" w:rsidP="00646F50">
            <w:pPr>
              <w:rPr>
                <w:rFonts w:cs="Arial"/>
                <w:szCs w:val="22"/>
              </w:rPr>
            </w:pPr>
          </w:p>
          <w:p w14:paraId="2BBAD531" w14:textId="0D0CCEEA" w:rsidR="001C6AA3" w:rsidRPr="0040181C" w:rsidRDefault="001C6AA3" w:rsidP="00646F50">
            <w:pPr>
              <w:rPr>
                <w:rFonts w:cs="Arial"/>
                <w:szCs w:val="22"/>
              </w:rPr>
            </w:pPr>
            <w:r>
              <w:rPr>
                <w:rFonts w:cs="Arial"/>
                <w:szCs w:val="22"/>
              </w:rPr>
              <w:t xml:space="preserve">L O’Donnel confirmed plan to amend the order of the agenda to take </w:t>
            </w:r>
            <w:r w:rsidR="00A71890">
              <w:rPr>
                <w:rFonts w:cs="Arial"/>
                <w:szCs w:val="22"/>
              </w:rPr>
              <w:t xml:space="preserve">agenda </w:t>
            </w:r>
            <w:r w:rsidR="00FD5805">
              <w:rPr>
                <w:rFonts w:cs="Arial"/>
                <w:szCs w:val="22"/>
              </w:rPr>
              <w:t>items 12 and 16 first.</w:t>
            </w:r>
          </w:p>
          <w:p w14:paraId="025F38B4" w14:textId="77777777" w:rsidR="00811C55" w:rsidRDefault="00811C55" w:rsidP="00646F50">
            <w:pPr>
              <w:rPr>
                <w:b/>
                <w:szCs w:val="22"/>
              </w:rPr>
            </w:pPr>
          </w:p>
        </w:tc>
      </w:tr>
      <w:tr w:rsidR="00811C55" w:rsidRPr="002F197E" w14:paraId="296801B8" w14:textId="77777777" w:rsidTr="00811C55">
        <w:trPr>
          <w:trHeight w:val="408"/>
        </w:trPr>
        <w:tc>
          <w:tcPr>
            <w:tcW w:w="568" w:type="dxa"/>
          </w:tcPr>
          <w:p w14:paraId="0ECE45E5"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62B2E9AF" w14:textId="5497D32D" w:rsidR="00811C55" w:rsidRDefault="00811C55" w:rsidP="00646F50">
            <w:pPr>
              <w:rPr>
                <w:b/>
                <w:szCs w:val="22"/>
              </w:rPr>
            </w:pPr>
            <w:r>
              <w:rPr>
                <w:b/>
                <w:szCs w:val="22"/>
              </w:rPr>
              <w:t xml:space="preserve">MINUTE OF LAST MEETING </w:t>
            </w:r>
          </w:p>
          <w:p w14:paraId="11C42CA9" w14:textId="5DC473B5" w:rsidR="00811C55" w:rsidRDefault="00811C55" w:rsidP="00646F50">
            <w:pPr>
              <w:rPr>
                <w:rFonts w:cs="Arial"/>
                <w:bCs/>
                <w:szCs w:val="22"/>
              </w:rPr>
            </w:pPr>
            <w:r w:rsidRPr="00310552">
              <w:rPr>
                <w:rFonts w:cs="Arial"/>
                <w:bCs/>
                <w:szCs w:val="22"/>
              </w:rPr>
              <w:t>The minute of the Board of Management meeting held on 1</w:t>
            </w:r>
            <w:r>
              <w:rPr>
                <w:rFonts w:cs="Arial"/>
                <w:bCs/>
                <w:szCs w:val="22"/>
              </w:rPr>
              <w:t>7</w:t>
            </w:r>
            <w:r w:rsidRPr="00310552">
              <w:rPr>
                <w:rFonts w:cs="Arial"/>
                <w:bCs/>
                <w:szCs w:val="22"/>
              </w:rPr>
              <w:t xml:space="preserve"> </w:t>
            </w:r>
            <w:r>
              <w:rPr>
                <w:rFonts w:cs="Arial"/>
                <w:bCs/>
                <w:szCs w:val="22"/>
              </w:rPr>
              <w:t>June 2025</w:t>
            </w:r>
            <w:r w:rsidRPr="00310552">
              <w:rPr>
                <w:rFonts w:cs="Arial"/>
                <w:bCs/>
                <w:szCs w:val="22"/>
              </w:rPr>
              <w:t xml:space="preserve"> was approved as an accurate record</w:t>
            </w:r>
            <w:r>
              <w:rPr>
                <w:rFonts w:cs="Arial"/>
                <w:bCs/>
                <w:szCs w:val="22"/>
              </w:rPr>
              <w:t>.</w:t>
            </w:r>
          </w:p>
          <w:p w14:paraId="1A5C1F7C" w14:textId="77777777" w:rsidR="00811C55" w:rsidRPr="00291585" w:rsidRDefault="00811C55" w:rsidP="00646F50">
            <w:pPr>
              <w:rPr>
                <w:b/>
                <w:szCs w:val="22"/>
              </w:rPr>
            </w:pPr>
          </w:p>
        </w:tc>
      </w:tr>
      <w:tr w:rsidR="00811C55" w:rsidRPr="002F197E" w14:paraId="1D6B64BA" w14:textId="77777777" w:rsidTr="00493748">
        <w:trPr>
          <w:trHeight w:val="1435"/>
        </w:trPr>
        <w:tc>
          <w:tcPr>
            <w:tcW w:w="568" w:type="dxa"/>
          </w:tcPr>
          <w:p w14:paraId="1616B4EE"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43129F5C" w14:textId="47C9911A" w:rsidR="00811C55" w:rsidRDefault="00811C55" w:rsidP="00646F50">
            <w:pPr>
              <w:rPr>
                <w:b/>
                <w:szCs w:val="22"/>
              </w:rPr>
            </w:pPr>
            <w:r>
              <w:rPr>
                <w:b/>
                <w:szCs w:val="22"/>
              </w:rPr>
              <w:t>MATTERS ARISING</w:t>
            </w:r>
          </w:p>
          <w:p w14:paraId="4538B1C6" w14:textId="77777777" w:rsidR="00DE501B" w:rsidRDefault="00811C55" w:rsidP="00646F50">
            <w:pPr>
              <w:rPr>
                <w:bCs/>
                <w:szCs w:val="22"/>
              </w:rPr>
            </w:pPr>
            <w:r w:rsidRPr="00E86635">
              <w:rPr>
                <w:bCs/>
                <w:szCs w:val="22"/>
              </w:rPr>
              <w:t xml:space="preserve">S Taylor noted that all matters arising had either been progressed and closed or were included within the agenda. </w:t>
            </w:r>
          </w:p>
          <w:p w14:paraId="4EC55EC0" w14:textId="77777777" w:rsidR="00646F50" w:rsidRDefault="00646F50" w:rsidP="00646F50">
            <w:pPr>
              <w:rPr>
                <w:bCs/>
                <w:szCs w:val="22"/>
              </w:rPr>
            </w:pPr>
          </w:p>
          <w:p w14:paraId="1F8083DA" w14:textId="77777777" w:rsidR="00811C55" w:rsidRDefault="00811C55" w:rsidP="00646F50">
            <w:pPr>
              <w:rPr>
                <w:b/>
                <w:szCs w:val="22"/>
              </w:rPr>
            </w:pPr>
            <w:r>
              <w:rPr>
                <w:bCs/>
                <w:szCs w:val="22"/>
              </w:rPr>
              <w:t>C</w:t>
            </w:r>
            <w:r w:rsidRPr="00E86635">
              <w:rPr>
                <w:bCs/>
                <w:szCs w:val="22"/>
              </w:rPr>
              <w:t xml:space="preserve"> Cusick proposed that page numbers </w:t>
            </w:r>
            <w:r>
              <w:rPr>
                <w:bCs/>
                <w:szCs w:val="22"/>
              </w:rPr>
              <w:t xml:space="preserve">to </w:t>
            </w:r>
            <w:r w:rsidRPr="00E86635">
              <w:rPr>
                <w:bCs/>
                <w:szCs w:val="22"/>
              </w:rPr>
              <w:t>be included on all Board papers</w:t>
            </w:r>
            <w:r w:rsidR="00DE501B">
              <w:rPr>
                <w:bCs/>
                <w:szCs w:val="22"/>
              </w:rPr>
              <w:t xml:space="preserve"> if possible. </w:t>
            </w:r>
            <w:r w:rsidRPr="009D0802">
              <w:rPr>
                <w:b/>
                <w:szCs w:val="22"/>
              </w:rPr>
              <w:t>S</w:t>
            </w:r>
            <w:r w:rsidR="00493748">
              <w:rPr>
                <w:b/>
                <w:szCs w:val="22"/>
              </w:rPr>
              <w:t> </w:t>
            </w:r>
            <w:r w:rsidRPr="009D0802">
              <w:rPr>
                <w:b/>
                <w:szCs w:val="22"/>
              </w:rPr>
              <w:t>Taylor to progress.</w:t>
            </w:r>
          </w:p>
          <w:p w14:paraId="0027D413" w14:textId="0C859C2A" w:rsidR="00DA5040" w:rsidRDefault="00DA5040" w:rsidP="00646F50">
            <w:pPr>
              <w:rPr>
                <w:b/>
                <w:szCs w:val="22"/>
              </w:rPr>
            </w:pPr>
          </w:p>
        </w:tc>
      </w:tr>
      <w:tr w:rsidR="00517CBB" w:rsidRPr="002F197E" w14:paraId="06610F28" w14:textId="77777777" w:rsidTr="00493748">
        <w:trPr>
          <w:trHeight w:val="1435"/>
        </w:trPr>
        <w:tc>
          <w:tcPr>
            <w:tcW w:w="568" w:type="dxa"/>
          </w:tcPr>
          <w:p w14:paraId="3F29A49C" w14:textId="77777777" w:rsidR="00517CBB" w:rsidRPr="001A0CC1" w:rsidRDefault="00517CBB" w:rsidP="00646F50">
            <w:pPr>
              <w:pStyle w:val="ListParagraph"/>
              <w:numPr>
                <w:ilvl w:val="0"/>
                <w:numId w:val="1"/>
              </w:numPr>
              <w:ind w:left="0" w:firstLine="0"/>
              <w:contextualSpacing w:val="0"/>
              <w:jc w:val="center"/>
              <w:rPr>
                <w:b/>
                <w:szCs w:val="22"/>
              </w:rPr>
            </w:pPr>
          </w:p>
        </w:tc>
        <w:tc>
          <w:tcPr>
            <w:tcW w:w="9497" w:type="dxa"/>
          </w:tcPr>
          <w:p w14:paraId="548F36C4" w14:textId="77777777" w:rsidR="00517CBB" w:rsidRDefault="00517CBB" w:rsidP="00517CBB">
            <w:pPr>
              <w:rPr>
                <w:b/>
                <w:szCs w:val="22"/>
              </w:rPr>
            </w:pPr>
            <w:r w:rsidRPr="006D3975">
              <w:rPr>
                <w:b/>
                <w:szCs w:val="22"/>
              </w:rPr>
              <w:t>FINANCE</w:t>
            </w:r>
            <w:r>
              <w:rPr>
                <w:b/>
                <w:szCs w:val="22"/>
              </w:rPr>
              <w:t xml:space="preserve"> </w:t>
            </w:r>
            <w:r w:rsidRPr="006D3975">
              <w:rPr>
                <w:b/>
                <w:szCs w:val="22"/>
              </w:rPr>
              <w:t>ITEMS</w:t>
            </w:r>
          </w:p>
          <w:p w14:paraId="1534D0C0" w14:textId="77777777" w:rsidR="00517CBB" w:rsidRPr="006D3975" w:rsidRDefault="00517CBB" w:rsidP="00517CBB">
            <w:pPr>
              <w:rPr>
                <w:b/>
                <w:szCs w:val="22"/>
              </w:rPr>
            </w:pPr>
          </w:p>
          <w:p w14:paraId="26391D89" w14:textId="77777777" w:rsidR="00517CBB" w:rsidRPr="00B1375E" w:rsidRDefault="00517CBB" w:rsidP="00517CBB">
            <w:pPr>
              <w:pStyle w:val="ListParagraph"/>
              <w:numPr>
                <w:ilvl w:val="1"/>
                <w:numId w:val="1"/>
              </w:numPr>
              <w:ind w:left="357" w:hanging="357"/>
              <w:contextualSpacing w:val="0"/>
              <w:rPr>
                <w:b/>
                <w:bCs/>
                <w:szCs w:val="22"/>
              </w:rPr>
            </w:pPr>
            <w:r w:rsidRPr="00B1375E">
              <w:rPr>
                <w:b/>
                <w:bCs/>
                <w:szCs w:val="22"/>
              </w:rPr>
              <w:t>Financial Sustainability &amp; Savings Planning</w:t>
            </w:r>
          </w:p>
          <w:p w14:paraId="782EC4B1" w14:textId="77777777" w:rsidR="00517CBB" w:rsidRDefault="00517CBB" w:rsidP="00517CBB">
            <w:pPr>
              <w:rPr>
                <w:sz w:val="20"/>
              </w:rPr>
            </w:pPr>
          </w:p>
          <w:p w14:paraId="353CB5C9" w14:textId="77777777" w:rsidR="00517CBB" w:rsidRDefault="00517CBB" w:rsidP="00517CBB">
            <w:pPr>
              <w:rPr>
                <w:szCs w:val="22"/>
              </w:rPr>
            </w:pPr>
            <w:r w:rsidRPr="00307C3A">
              <w:rPr>
                <w:szCs w:val="22"/>
              </w:rPr>
              <w:t xml:space="preserve">S Hewitt presented the </w:t>
            </w:r>
            <w:r>
              <w:rPr>
                <w:szCs w:val="22"/>
              </w:rPr>
              <w:t>underlying financial picture for the sector and College</w:t>
            </w:r>
            <w:r w:rsidRPr="00307C3A">
              <w:rPr>
                <w:szCs w:val="22"/>
              </w:rPr>
              <w:t xml:space="preserve">, outlining ongoing challenges and providing updates since the last presentation. S Hewitt emphasised that a different </w:t>
            </w:r>
            <w:r>
              <w:rPr>
                <w:szCs w:val="22"/>
              </w:rPr>
              <w:t xml:space="preserve">national funding </w:t>
            </w:r>
            <w:r w:rsidRPr="00307C3A">
              <w:rPr>
                <w:szCs w:val="22"/>
              </w:rPr>
              <w:t xml:space="preserve">model is required and highlighted strong support from the Finance Committee within the </w:t>
            </w:r>
            <w:r>
              <w:rPr>
                <w:szCs w:val="22"/>
              </w:rPr>
              <w:t>Parliament</w:t>
            </w:r>
            <w:r w:rsidRPr="00307C3A">
              <w:rPr>
                <w:szCs w:val="22"/>
              </w:rPr>
              <w:t xml:space="preserve">, referencing </w:t>
            </w:r>
            <w:r>
              <w:rPr>
                <w:szCs w:val="22"/>
              </w:rPr>
              <w:t xml:space="preserve">the </w:t>
            </w:r>
            <w:r w:rsidRPr="00307C3A">
              <w:rPr>
                <w:szCs w:val="22"/>
              </w:rPr>
              <w:t xml:space="preserve">challenges faced at D&amp;A College. </w:t>
            </w:r>
          </w:p>
          <w:p w14:paraId="7516A0AE" w14:textId="77777777" w:rsidR="00517CBB" w:rsidRPr="00AB3887" w:rsidRDefault="00517CBB" w:rsidP="00517CBB">
            <w:pPr>
              <w:rPr>
                <w:szCs w:val="22"/>
              </w:rPr>
            </w:pPr>
            <w:r w:rsidRPr="00AB3887">
              <w:rPr>
                <w:szCs w:val="22"/>
              </w:rPr>
              <w:t>S Hewitt stated t</w:t>
            </w:r>
            <w:r w:rsidRPr="00307C3A">
              <w:rPr>
                <w:szCs w:val="22"/>
              </w:rPr>
              <w:t xml:space="preserve">he </w:t>
            </w:r>
            <w:r>
              <w:rPr>
                <w:szCs w:val="22"/>
              </w:rPr>
              <w:t>updated Audit Scotland report</w:t>
            </w:r>
            <w:r w:rsidRPr="00AB3887">
              <w:rPr>
                <w:szCs w:val="22"/>
              </w:rPr>
              <w:t xml:space="preserve"> </w:t>
            </w:r>
            <w:r w:rsidRPr="00307C3A">
              <w:rPr>
                <w:szCs w:val="22"/>
              </w:rPr>
              <w:t>due on 6 October 2025</w:t>
            </w:r>
            <w:r>
              <w:rPr>
                <w:szCs w:val="22"/>
              </w:rPr>
              <w:t xml:space="preserve"> would likely highlight a </w:t>
            </w:r>
            <w:r w:rsidRPr="00307C3A">
              <w:rPr>
                <w:szCs w:val="22"/>
              </w:rPr>
              <w:t xml:space="preserve">cut of </w:t>
            </w:r>
            <w:r>
              <w:rPr>
                <w:szCs w:val="22"/>
              </w:rPr>
              <w:t xml:space="preserve">c20% to college sector funding over the past 5 years, </w:t>
            </w:r>
            <w:r w:rsidRPr="00307C3A">
              <w:rPr>
                <w:szCs w:val="22"/>
              </w:rPr>
              <w:t xml:space="preserve">reflecting long-standing sector challenges. </w:t>
            </w:r>
          </w:p>
          <w:p w14:paraId="001F2A0D" w14:textId="77777777" w:rsidR="00517CBB" w:rsidRPr="00AB3887" w:rsidRDefault="00517CBB" w:rsidP="00517CBB">
            <w:pPr>
              <w:rPr>
                <w:szCs w:val="22"/>
              </w:rPr>
            </w:pPr>
          </w:p>
          <w:p w14:paraId="469CEB7F" w14:textId="77777777" w:rsidR="00517CBB" w:rsidRPr="00F27E1D" w:rsidRDefault="00517CBB" w:rsidP="00517CBB">
            <w:pPr>
              <w:rPr>
                <w:szCs w:val="22"/>
              </w:rPr>
            </w:pPr>
            <w:r w:rsidRPr="00F27E1D">
              <w:rPr>
                <w:szCs w:val="22"/>
              </w:rPr>
              <w:t xml:space="preserve">The Scottish Funding Council (SFC) reported that the sector is experiencing structural sustainability challenges, including declining cash reserves, widening deficits, and flat cash settlements set against rising staff costs (e.g. NI and pension contributions). It was noted that limited opportunities for commercial growth exist, given lean college structures and the focus on core business. </w:t>
            </w:r>
          </w:p>
          <w:p w14:paraId="0D033884" w14:textId="77777777" w:rsidR="00517CBB" w:rsidRPr="00307C3A" w:rsidRDefault="00517CBB" w:rsidP="00517CBB">
            <w:pPr>
              <w:rPr>
                <w:sz w:val="20"/>
              </w:rPr>
            </w:pPr>
          </w:p>
          <w:p w14:paraId="4F9BC57E" w14:textId="77777777" w:rsidR="00517CBB" w:rsidRPr="0087718A" w:rsidRDefault="00517CBB" w:rsidP="00517CBB">
            <w:pPr>
              <w:rPr>
                <w:szCs w:val="22"/>
              </w:rPr>
            </w:pPr>
            <w:r w:rsidRPr="00307C3A">
              <w:rPr>
                <w:szCs w:val="22"/>
              </w:rPr>
              <w:t xml:space="preserve">S Hewitt </w:t>
            </w:r>
            <w:r>
              <w:rPr>
                <w:szCs w:val="22"/>
              </w:rPr>
              <w:t xml:space="preserve">also </w:t>
            </w:r>
            <w:r w:rsidRPr="00307C3A">
              <w:rPr>
                <w:szCs w:val="22"/>
              </w:rPr>
              <w:t xml:space="preserve">noted that the number of colleges with positive balances is expected to decline, with D&amp;A currently holding </w:t>
            </w:r>
            <w:r>
              <w:rPr>
                <w:szCs w:val="22"/>
              </w:rPr>
              <w:t>c</w:t>
            </w:r>
            <w:r w:rsidRPr="00307C3A">
              <w:rPr>
                <w:szCs w:val="22"/>
              </w:rPr>
              <w:t xml:space="preserve">£4 million. N Anderson commented that annual cash reductions could be misleading, as colleges forecast holding over £52 million, with a total </w:t>
            </w:r>
            <w:r>
              <w:rPr>
                <w:szCs w:val="22"/>
              </w:rPr>
              <w:t xml:space="preserve">downwards </w:t>
            </w:r>
            <w:r w:rsidRPr="00307C3A">
              <w:rPr>
                <w:szCs w:val="22"/>
              </w:rPr>
              <w:t xml:space="preserve">shift of £108 million by 2027/28. </w:t>
            </w:r>
          </w:p>
          <w:p w14:paraId="25F44CB0" w14:textId="77777777" w:rsidR="00517CBB" w:rsidRPr="0087718A" w:rsidRDefault="00517CBB" w:rsidP="00517CBB">
            <w:pPr>
              <w:rPr>
                <w:szCs w:val="22"/>
              </w:rPr>
            </w:pPr>
          </w:p>
          <w:p w14:paraId="282ED494" w14:textId="77777777" w:rsidR="00517CBB" w:rsidRPr="0087718A" w:rsidRDefault="00517CBB" w:rsidP="00517CBB">
            <w:pPr>
              <w:rPr>
                <w:szCs w:val="22"/>
              </w:rPr>
            </w:pPr>
            <w:r w:rsidRPr="00307C3A">
              <w:rPr>
                <w:szCs w:val="22"/>
              </w:rPr>
              <w:t>S Hewitt highlighted risks relating to industrial relations</w:t>
            </w:r>
            <w:r>
              <w:rPr>
                <w:szCs w:val="22"/>
              </w:rPr>
              <w:t xml:space="preserve"> and the </w:t>
            </w:r>
            <w:r w:rsidRPr="00307C3A">
              <w:rPr>
                <w:szCs w:val="22"/>
              </w:rPr>
              <w:t>potential withdrawal of apprenticeship partners</w:t>
            </w:r>
            <w:r>
              <w:rPr>
                <w:szCs w:val="22"/>
              </w:rPr>
              <w:t xml:space="preserve"> / employers. S Hewitt stated c</w:t>
            </w:r>
            <w:r w:rsidRPr="00307C3A">
              <w:rPr>
                <w:szCs w:val="22"/>
              </w:rPr>
              <w:t>ore funding from SFC does not fully cover staff costs, exacerbated by recent pay awards and pension contributions, resulting in a gap that is increasingly difficult to close.</w:t>
            </w:r>
            <w:r>
              <w:rPr>
                <w:szCs w:val="22"/>
              </w:rPr>
              <w:t xml:space="preserve"> Higher Education t</w:t>
            </w:r>
            <w:r w:rsidRPr="00307C3A">
              <w:rPr>
                <w:szCs w:val="22"/>
              </w:rPr>
              <w:t>uition fees have declined significantly over the past five years</w:t>
            </w:r>
            <w:r>
              <w:rPr>
                <w:szCs w:val="22"/>
              </w:rPr>
              <w:t xml:space="preserve"> due to reduced</w:t>
            </w:r>
            <w:r w:rsidRPr="00307C3A">
              <w:rPr>
                <w:szCs w:val="22"/>
              </w:rPr>
              <w:t xml:space="preserve"> HN numbers, contributing to reduced income.</w:t>
            </w:r>
          </w:p>
          <w:p w14:paraId="279E0709" w14:textId="77777777" w:rsidR="00517CBB" w:rsidRPr="00307C3A" w:rsidRDefault="00517CBB" w:rsidP="00517CBB">
            <w:pPr>
              <w:rPr>
                <w:szCs w:val="22"/>
              </w:rPr>
            </w:pPr>
          </w:p>
          <w:p w14:paraId="7480B2DE" w14:textId="77777777" w:rsidR="00517CBB" w:rsidRPr="00A712D4" w:rsidRDefault="00517CBB" w:rsidP="00517CBB">
            <w:pPr>
              <w:rPr>
                <w:szCs w:val="22"/>
              </w:rPr>
            </w:pPr>
            <w:r w:rsidRPr="00A712D4">
              <w:rPr>
                <w:szCs w:val="22"/>
              </w:rPr>
              <w:t>S Hewitt highlighted that the n</w:t>
            </w:r>
            <w:r w:rsidRPr="00307C3A">
              <w:rPr>
                <w:szCs w:val="22"/>
              </w:rPr>
              <w:t>ext steps include ongoing discussions with the Funding Council regarding national funding positions, with a minimum two-year timeframe before any reform agenda may be implemented</w:t>
            </w:r>
            <w:r>
              <w:rPr>
                <w:szCs w:val="22"/>
              </w:rPr>
              <w:t xml:space="preserve"> or additional funds from this realised</w:t>
            </w:r>
            <w:r w:rsidRPr="00307C3A">
              <w:rPr>
                <w:szCs w:val="22"/>
              </w:rPr>
              <w:t xml:space="preserve">. S Hewitt outlined the timeline for stabilisation over the next two years and the five-year horizon for wider reform. </w:t>
            </w:r>
            <w:r w:rsidRPr="00A712D4">
              <w:rPr>
                <w:szCs w:val="22"/>
              </w:rPr>
              <w:t xml:space="preserve">He stated </w:t>
            </w:r>
            <w:r>
              <w:rPr>
                <w:szCs w:val="22"/>
              </w:rPr>
              <w:t xml:space="preserve">a significant </w:t>
            </w:r>
            <w:r w:rsidRPr="00307C3A">
              <w:rPr>
                <w:szCs w:val="22"/>
              </w:rPr>
              <w:t xml:space="preserve">savings plan will be </w:t>
            </w:r>
            <w:r>
              <w:rPr>
                <w:szCs w:val="22"/>
              </w:rPr>
              <w:t>needed, with this to be published imminently</w:t>
            </w:r>
            <w:r w:rsidRPr="00307C3A">
              <w:rPr>
                <w:szCs w:val="22"/>
              </w:rPr>
              <w:t xml:space="preserve">, with principal briefings to follow. </w:t>
            </w:r>
          </w:p>
          <w:p w14:paraId="085ADD3F" w14:textId="77777777" w:rsidR="00517CBB" w:rsidRPr="00A712D4" w:rsidRDefault="00517CBB" w:rsidP="00517CBB">
            <w:pPr>
              <w:rPr>
                <w:szCs w:val="22"/>
              </w:rPr>
            </w:pPr>
          </w:p>
          <w:p w14:paraId="20E67143" w14:textId="77777777" w:rsidR="00517CBB" w:rsidRPr="00A712D4" w:rsidRDefault="00517CBB" w:rsidP="00517CBB">
            <w:pPr>
              <w:rPr>
                <w:szCs w:val="22"/>
              </w:rPr>
            </w:pPr>
            <w:r w:rsidRPr="00307C3A">
              <w:rPr>
                <w:szCs w:val="22"/>
              </w:rPr>
              <w:t>The broader context includes national political developments, including the upcoming election and the positioning of Colleges Scotland and universities on funding and tuition fees. S Hewitt stressed the need for a unified approach with trade unions, students, and management to advocate for the college sector and manage the current turbulent period.</w:t>
            </w:r>
          </w:p>
          <w:p w14:paraId="4393D3BB" w14:textId="77777777" w:rsidR="00517CBB" w:rsidRPr="00307C3A" w:rsidRDefault="00517CBB" w:rsidP="00517CBB">
            <w:pPr>
              <w:rPr>
                <w:sz w:val="20"/>
              </w:rPr>
            </w:pPr>
          </w:p>
          <w:p w14:paraId="192E9636" w14:textId="77777777" w:rsidR="00517CBB" w:rsidRDefault="00517CBB" w:rsidP="00517CBB">
            <w:pPr>
              <w:rPr>
                <w:szCs w:val="22"/>
              </w:rPr>
            </w:pPr>
            <w:r w:rsidRPr="00307C3A">
              <w:rPr>
                <w:szCs w:val="22"/>
              </w:rPr>
              <w:t xml:space="preserve">B Lawrie noted that the draft budget aligns with </w:t>
            </w:r>
            <w:r>
              <w:rPr>
                <w:szCs w:val="22"/>
              </w:rPr>
              <w:t>this</w:t>
            </w:r>
            <w:r w:rsidRPr="00307C3A">
              <w:rPr>
                <w:szCs w:val="22"/>
              </w:rPr>
              <w:t xml:space="preserve"> </w:t>
            </w:r>
            <w:r>
              <w:rPr>
                <w:szCs w:val="22"/>
              </w:rPr>
              <w:t xml:space="preserve">update </w:t>
            </w:r>
            <w:r w:rsidRPr="00307C3A">
              <w:rPr>
                <w:szCs w:val="22"/>
              </w:rPr>
              <w:t xml:space="preserve">report and highlighted the importance of </w:t>
            </w:r>
            <w:r>
              <w:rPr>
                <w:szCs w:val="22"/>
              </w:rPr>
              <w:t>joint working to try to influence future funding.</w:t>
            </w:r>
          </w:p>
          <w:p w14:paraId="2B4550F6" w14:textId="77777777" w:rsidR="00517CBB" w:rsidRDefault="00517CBB" w:rsidP="00517CBB">
            <w:pPr>
              <w:rPr>
                <w:szCs w:val="22"/>
              </w:rPr>
            </w:pPr>
          </w:p>
          <w:p w14:paraId="1D3FC1D0" w14:textId="77777777" w:rsidR="00517CBB" w:rsidRPr="007532CC" w:rsidRDefault="00517CBB" w:rsidP="00517CBB">
            <w:pPr>
              <w:rPr>
                <w:szCs w:val="22"/>
              </w:rPr>
            </w:pPr>
            <w:r w:rsidRPr="00307C3A">
              <w:rPr>
                <w:szCs w:val="22"/>
              </w:rPr>
              <w:t>D</w:t>
            </w:r>
            <w:r w:rsidRPr="007532CC">
              <w:rPr>
                <w:szCs w:val="22"/>
              </w:rPr>
              <w:t xml:space="preserve"> </w:t>
            </w:r>
            <w:r w:rsidRPr="00307C3A">
              <w:rPr>
                <w:szCs w:val="22"/>
              </w:rPr>
              <w:t xml:space="preserve">Mackenzie thanked S Hewitt for the </w:t>
            </w:r>
            <w:r>
              <w:rPr>
                <w:szCs w:val="22"/>
              </w:rPr>
              <w:t>update</w:t>
            </w:r>
            <w:r w:rsidRPr="00307C3A">
              <w:rPr>
                <w:szCs w:val="22"/>
              </w:rPr>
              <w:t xml:space="preserve"> and sought clarity on support for executive members and trade unions. S Hewitt confirmed that mutual support is being prioritised to navigate the challenges while maintaining calm and finding a way forward. </w:t>
            </w:r>
          </w:p>
          <w:p w14:paraId="31FB173D" w14:textId="77777777" w:rsidR="00517CBB" w:rsidRPr="007532CC" w:rsidRDefault="00517CBB" w:rsidP="00517CBB">
            <w:pPr>
              <w:rPr>
                <w:szCs w:val="22"/>
              </w:rPr>
            </w:pPr>
          </w:p>
          <w:p w14:paraId="08B74E5D" w14:textId="77777777" w:rsidR="00517CBB" w:rsidRPr="007532CC" w:rsidRDefault="00517CBB" w:rsidP="00517CBB">
            <w:pPr>
              <w:rPr>
                <w:szCs w:val="22"/>
              </w:rPr>
            </w:pPr>
            <w:r w:rsidRPr="00307C3A">
              <w:rPr>
                <w:szCs w:val="22"/>
              </w:rPr>
              <w:t xml:space="preserve">S Oakley and C Cusick emphasised the importance of strong relationships and a united approach between unions and </w:t>
            </w:r>
            <w:r>
              <w:rPr>
                <w:szCs w:val="22"/>
              </w:rPr>
              <w:t>C</w:t>
            </w:r>
            <w:r w:rsidRPr="00307C3A">
              <w:rPr>
                <w:szCs w:val="22"/>
              </w:rPr>
              <w:t>ollege management. G</w:t>
            </w:r>
            <w:r w:rsidRPr="007532CC">
              <w:rPr>
                <w:szCs w:val="22"/>
              </w:rPr>
              <w:t xml:space="preserve"> </w:t>
            </w:r>
            <w:r w:rsidRPr="00307C3A">
              <w:rPr>
                <w:szCs w:val="22"/>
              </w:rPr>
              <w:t>Bell and L</w:t>
            </w:r>
            <w:r w:rsidRPr="007532CC">
              <w:rPr>
                <w:szCs w:val="22"/>
              </w:rPr>
              <w:t xml:space="preserve"> </w:t>
            </w:r>
            <w:r w:rsidRPr="00307C3A">
              <w:rPr>
                <w:szCs w:val="22"/>
              </w:rPr>
              <w:t>O</w:t>
            </w:r>
            <w:r w:rsidRPr="007532CC">
              <w:rPr>
                <w:szCs w:val="22"/>
              </w:rPr>
              <w:t>’Donnell</w:t>
            </w:r>
            <w:r w:rsidRPr="00307C3A">
              <w:rPr>
                <w:szCs w:val="22"/>
              </w:rPr>
              <w:t xml:space="preserve"> highlighted sector-wide engagement and forums but noted limited progress in some areas.</w:t>
            </w:r>
          </w:p>
          <w:p w14:paraId="7B45F908" w14:textId="77777777" w:rsidR="00517CBB" w:rsidRPr="00307C3A" w:rsidRDefault="00517CBB" w:rsidP="00517CBB">
            <w:pPr>
              <w:rPr>
                <w:sz w:val="20"/>
              </w:rPr>
            </w:pPr>
          </w:p>
          <w:p w14:paraId="71C35568" w14:textId="77777777" w:rsidR="00517CBB" w:rsidRDefault="00517CBB" w:rsidP="00517CBB">
            <w:pPr>
              <w:rPr>
                <w:szCs w:val="22"/>
              </w:rPr>
            </w:pPr>
          </w:p>
          <w:p w14:paraId="21E3608F" w14:textId="77777777" w:rsidR="00517CBB" w:rsidRDefault="00517CBB" w:rsidP="00517CBB">
            <w:pPr>
              <w:rPr>
                <w:szCs w:val="22"/>
              </w:rPr>
            </w:pPr>
          </w:p>
          <w:p w14:paraId="253C1151" w14:textId="77777777" w:rsidR="00517CBB" w:rsidRDefault="00517CBB" w:rsidP="00517CBB">
            <w:pPr>
              <w:rPr>
                <w:szCs w:val="22"/>
              </w:rPr>
            </w:pPr>
          </w:p>
          <w:p w14:paraId="6A80DA9E" w14:textId="77777777" w:rsidR="00517CBB" w:rsidRDefault="00517CBB" w:rsidP="00517CBB">
            <w:pPr>
              <w:rPr>
                <w:szCs w:val="22"/>
              </w:rPr>
            </w:pPr>
          </w:p>
          <w:p w14:paraId="466FB166" w14:textId="0C711D61" w:rsidR="00517CBB" w:rsidRDefault="00517CBB" w:rsidP="00517CBB">
            <w:pPr>
              <w:rPr>
                <w:szCs w:val="22"/>
              </w:rPr>
            </w:pPr>
            <w:r w:rsidRPr="00307C3A">
              <w:rPr>
                <w:szCs w:val="22"/>
              </w:rPr>
              <w:lastRenderedPageBreak/>
              <w:t xml:space="preserve">R Young raised concerns regarding reputational impact and the surgical nature of the required decisions. S Hewitt described the savings plan history, including a 21% reduction since his tenure as </w:t>
            </w:r>
            <w:r>
              <w:rPr>
                <w:szCs w:val="22"/>
              </w:rPr>
              <w:t>P</w:t>
            </w:r>
            <w:r w:rsidRPr="00307C3A">
              <w:rPr>
                <w:szCs w:val="22"/>
              </w:rPr>
              <w:t>rincipal, and the rationale for minimising impact on core business and provision. J</w:t>
            </w:r>
            <w:r>
              <w:rPr>
                <w:szCs w:val="22"/>
              </w:rPr>
              <w:t> </w:t>
            </w:r>
            <w:r w:rsidRPr="00307C3A">
              <w:rPr>
                <w:szCs w:val="22"/>
              </w:rPr>
              <w:t>Grace highlighted previous reductions and the criteria used to inform proposals</w:t>
            </w:r>
            <w:r>
              <w:rPr>
                <w:szCs w:val="22"/>
              </w:rPr>
              <w:t xml:space="preserve"> that sought to minimise impact on breadth of opportunity, transitions etc</w:t>
            </w:r>
            <w:r w:rsidRPr="00307C3A">
              <w:rPr>
                <w:szCs w:val="22"/>
              </w:rPr>
              <w:t>.</w:t>
            </w:r>
            <w:r>
              <w:rPr>
                <w:szCs w:val="22"/>
              </w:rPr>
              <w:t xml:space="preserve"> This was difficult in some cases.</w:t>
            </w:r>
          </w:p>
          <w:p w14:paraId="45F57BE2" w14:textId="77777777" w:rsidR="00517CBB" w:rsidRDefault="00517CBB" w:rsidP="00517CBB">
            <w:pPr>
              <w:rPr>
                <w:szCs w:val="22"/>
              </w:rPr>
            </w:pPr>
          </w:p>
          <w:p w14:paraId="759E612B" w14:textId="77777777" w:rsidR="00517CBB" w:rsidRDefault="00517CBB" w:rsidP="00517CBB">
            <w:pPr>
              <w:rPr>
                <w:szCs w:val="22"/>
              </w:rPr>
            </w:pPr>
            <w:r w:rsidRPr="00307C3A">
              <w:rPr>
                <w:szCs w:val="22"/>
              </w:rPr>
              <w:t>S</w:t>
            </w:r>
            <w:r>
              <w:rPr>
                <w:szCs w:val="22"/>
              </w:rPr>
              <w:t xml:space="preserve"> </w:t>
            </w:r>
            <w:r w:rsidRPr="00307C3A">
              <w:rPr>
                <w:szCs w:val="22"/>
              </w:rPr>
              <w:t xml:space="preserve">Oakley </w:t>
            </w:r>
            <w:r>
              <w:rPr>
                <w:szCs w:val="22"/>
              </w:rPr>
              <w:t xml:space="preserve">asked if the </w:t>
            </w:r>
            <w:r w:rsidRPr="00307C3A">
              <w:rPr>
                <w:szCs w:val="22"/>
              </w:rPr>
              <w:t xml:space="preserve">future plans are being tested against strategic direction to ensure alignment. </w:t>
            </w:r>
            <w:r>
              <w:rPr>
                <w:szCs w:val="22"/>
              </w:rPr>
              <w:t>S Hewitt confirmed that this was the case.</w:t>
            </w:r>
          </w:p>
          <w:p w14:paraId="5802A72E" w14:textId="77777777" w:rsidR="00517CBB" w:rsidRDefault="00517CBB" w:rsidP="00517CBB">
            <w:pPr>
              <w:rPr>
                <w:szCs w:val="22"/>
              </w:rPr>
            </w:pPr>
          </w:p>
          <w:p w14:paraId="4096F2EE" w14:textId="77777777" w:rsidR="00517CBB" w:rsidRDefault="00517CBB" w:rsidP="00517CBB">
            <w:pPr>
              <w:rPr>
                <w:szCs w:val="22"/>
              </w:rPr>
            </w:pPr>
            <w:r w:rsidRPr="00307C3A">
              <w:rPr>
                <w:szCs w:val="22"/>
              </w:rPr>
              <w:t>R Gordon raised considerations regarding financial drivers and succession planning risks</w:t>
            </w:r>
            <w:r>
              <w:rPr>
                <w:szCs w:val="22"/>
              </w:rPr>
              <w:t>. This point was noted.</w:t>
            </w:r>
          </w:p>
          <w:p w14:paraId="79F26E86" w14:textId="77777777" w:rsidR="00517CBB" w:rsidRDefault="00517CBB" w:rsidP="00517CBB">
            <w:pPr>
              <w:rPr>
                <w:szCs w:val="22"/>
              </w:rPr>
            </w:pPr>
          </w:p>
          <w:p w14:paraId="6486F141" w14:textId="77777777" w:rsidR="00517CBB" w:rsidRDefault="00517CBB" w:rsidP="00517CBB">
            <w:pPr>
              <w:rPr>
                <w:bCs/>
                <w:szCs w:val="22"/>
              </w:rPr>
            </w:pPr>
            <w:r w:rsidRPr="00714A34">
              <w:rPr>
                <w:bCs/>
                <w:szCs w:val="22"/>
              </w:rPr>
              <w:t>R Young enquired about feedback on staff morale and what additional support could be provided. R Gordon highlighted the importance of transparency and effort in communicating the approach, noting that effective communication could be supported through established relationships.</w:t>
            </w:r>
          </w:p>
          <w:p w14:paraId="27E23E14" w14:textId="77777777" w:rsidR="00517CBB" w:rsidRPr="00714A34" w:rsidRDefault="00517CBB" w:rsidP="00517CBB">
            <w:pPr>
              <w:rPr>
                <w:bCs/>
                <w:szCs w:val="22"/>
              </w:rPr>
            </w:pPr>
            <w:r w:rsidRPr="00714A34">
              <w:rPr>
                <w:bCs/>
                <w:szCs w:val="22"/>
              </w:rPr>
              <w:t xml:space="preserve"> </w:t>
            </w:r>
          </w:p>
          <w:p w14:paraId="2D745B96" w14:textId="77777777" w:rsidR="00517CBB" w:rsidRDefault="00517CBB" w:rsidP="00517CBB">
            <w:pPr>
              <w:rPr>
                <w:bCs/>
                <w:szCs w:val="22"/>
              </w:rPr>
            </w:pPr>
            <w:r w:rsidRPr="00714A34">
              <w:rPr>
                <w:bCs/>
                <w:szCs w:val="22"/>
              </w:rPr>
              <w:t>L O’Donnell expressed concern that the situation could negatively impact staff mental health and wellbeing and indicated that this issue would continue to be monitored.</w:t>
            </w:r>
          </w:p>
          <w:p w14:paraId="63EA468F" w14:textId="77777777" w:rsidR="00517CBB" w:rsidRDefault="00517CBB" w:rsidP="00517CBB">
            <w:pPr>
              <w:rPr>
                <w:szCs w:val="22"/>
              </w:rPr>
            </w:pPr>
          </w:p>
          <w:p w14:paraId="2DA1B737" w14:textId="77777777" w:rsidR="00517CBB" w:rsidRDefault="00517CBB" w:rsidP="00517CBB">
            <w:pPr>
              <w:rPr>
                <w:szCs w:val="22"/>
              </w:rPr>
            </w:pPr>
            <w:r w:rsidRPr="00307C3A">
              <w:rPr>
                <w:szCs w:val="22"/>
              </w:rPr>
              <w:t>L O</w:t>
            </w:r>
            <w:r>
              <w:rPr>
                <w:szCs w:val="22"/>
              </w:rPr>
              <w:t xml:space="preserve">’Donnell noted the need to be clear about </w:t>
            </w:r>
            <w:r w:rsidRPr="00307C3A">
              <w:rPr>
                <w:szCs w:val="22"/>
              </w:rPr>
              <w:t xml:space="preserve">the </w:t>
            </w:r>
            <w:r>
              <w:rPr>
                <w:szCs w:val="22"/>
              </w:rPr>
              <w:t>B</w:t>
            </w:r>
            <w:r w:rsidRPr="00307C3A">
              <w:rPr>
                <w:szCs w:val="22"/>
              </w:rPr>
              <w:t xml:space="preserve">oard’s role in strategic </w:t>
            </w:r>
            <w:r>
              <w:rPr>
                <w:szCs w:val="22"/>
              </w:rPr>
              <w:t xml:space="preserve">decision making relative to the </w:t>
            </w:r>
            <w:r w:rsidRPr="00307C3A">
              <w:rPr>
                <w:szCs w:val="22"/>
              </w:rPr>
              <w:t xml:space="preserve">operational </w:t>
            </w:r>
            <w:r>
              <w:rPr>
                <w:szCs w:val="22"/>
              </w:rPr>
              <w:t>identification and management of savings</w:t>
            </w:r>
            <w:r w:rsidRPr="00307C3A">
              <w:rPr>
                <w:szCs w:val="22"/>
              </w:rPr>
              <w:t xml:space="preserve">, emphasising </w:t>
            </w:r>
            <w:r>
              <w:rPr>
                <w:szCs w:val="22"/>
              </w:rPr>
              <w:t xml:space="preserve">the importance of </w:t>
            </w:r>
            <w:r w:rsidRPr="00307C3A">
              <w:rPr>
                <w:szCs w:val="22"/>
              </w:rPr>
              <w:t xml:space="preserve">accountability and oversight. </w:t>
            </w:r>
            <w:r>
              <w:rPr>
                <w:szCs w:val="22"/>
              </w:rPr>
              <w:t>S</w:t>
            </w:r>
            <w:r w:rsidRPr="00307C3A">
              <w:rPr>
                <w:szCs w:val="22"/>
              </w:rPr>
              <w:t xml:space="preserve"> Hewitt </w:t>
            </w:r>
            <w:r>
              <w:rPr>
                <w:szCs w:val="22"/>
              </w:rPr>
              <w:t xml:space="preserve">outlined his view on </w:t>
            </w:r>
            <w:r w:rsidRPr="00307C3A">
              <w:rPr>
                <w:szCs w:val="22"/>
              </w:rPr>
              <w:t xml:space="preserve">delegated authority for operational decisions, with the </w:t>
            </w:r>
            <w:r>
              <w:rPr>
                <w:szCs w:val="22"/>
              </w:rPr>
              <w:t>B</w:t>
            </w:r>
            <w:r w:rsidRPr="00307C3A">
              <w:rPr>
                <w:szCs w:val="22"/>
              </w:rPr>
              <w:t>oard retaining responsibility for budget approval.</w:t>
            </w:r>
          </w:p>
          <w:p w14:paraId="2FFE7599" w14:textId="77777777" w:rsidR="00517CBB" w:rsidRPr="00307C3A" w:rsidRDefault="00517CBB" w:rsidP="00517CBB">
            <w:pPr>
              <w:rPr>
                <w:szCs w:val="22"/>
              </w:rPr>
            </w:pPr>
          </w:p>
          <w:p w14:paraId="4FF24666" w14:textId="77777777" w:rsidR="00517CBB" w:rsidRDefault="00517CBB" w:rsidP="00517CBB">
            <w:pPr>
              <w:rPr>
                <w:szCs w:val="22"/>
              </w:rPr>
            </w:pPr>
            <w:r w:rsidRPr="00307C3A">
              <w:rPr>
                <w:szCs w:val="22"/>
              </w:rPr>
              <w:t>The discussion continued regarding communication and consultation with trade unions, staff, and stakeholders. H Honeyman, D</w:t>
            </w:r>
            <w:r>
              <w:rPr>
                <w:szCs w:val="22"/>
              </w:rPr>
              <w:t xml:space="preserve"> </w:t>
            </w:r>
            <w:r w:rsidRPr="00307C3A">
              <w:rPr>
                <w:szCs w:val="22"/>
              </w:rPr>
              <w:t xml:space="preserve">Mackenzie, and other board members emphasised </w:t>
            </w:r>
            <w:r>
              <w:rPr>
                <w:szCs w:val="22"/>
              </w:rPr>
              <w:t xml:space="preserve">the important role of the Board in </w:t>
            </w:r>
            <w:r w:rsidRPr="00307C3A">
              <w:rPr>
                <w:szCs w:val="22"/>
              </w:rPr>
              <w:t>support</w:t>
            </w:r>
            <w:r>
              <w:rPr>
                <w:szCs w:val="22"/>
              </w:rPr>
              <w:t>ing and scrutinising as well as</w:t>
            </w:r>
            <w:r w:rsidRPr="00307C3A">
              <w:rPr>
                <w:szCs w:val="22"/>
              </w:rPr>
              <w:t xml:space="preserve"> alignment in </w:t>
            </w:r>
            <w:r>
              <w:rPr>
                <w:szCs w:val="22"/>
              </w:rPr>
              <w:t xml:space="preserve">the </w:t>
            </w:r>
            <w:r w:rsidRPr="00307C3A">
              <w:rPr>
                <w:szCs w:val="22"/>
              </w:rPr>
              <w:t xml:space="preserve">decision-making. </w:t>
            </w:r>
          </w:p>
          <w:p w14:paraId="1C838C67" w14:textId="77777777" w:rsidR="00517CBB" w:rsidRDefault="00517CBB" w:rsidP="00517CBB">
            <w:pPr>
              <w:rPr>
                <w:szCs w:val="22"/>
              </w:rPr>
            </w:pPr>
          </w:p>
          <w:p w14:paraId="7DADFA9F" w14:textId="77777777" w:rsidR="00517CBB" w:rsidRDefault="00517CBB" w:rsidP="00517CBB">
            <w:pPr>
              <w:rPr>
                <w:szCs w:val="22"/>
              </w:rPr>
            </w:pPr>
            <w:r w:rsidRPr="00307C3A">
              <w:rPr>
                <w:szCs w:val="22"/>
              </w:rPr>
              <w:t>K Marsh clarified consultation on the savings plan and operational management responsibilities.</w:t>
            </w:r>
          </w:p>
          <w:p w14:paraId="1674903D" w14:textId="77777777" w:rsidR="00517CBB" w:rsidRDefault="00517CBB" w:rsidP="00517CBB">
            <w:pPr>
              <w:rPr>
                <w:szCs w:val="22"/>
              </w:rPr>
            </w:pPr>
          </w:p>
          <w:p w14:paraId="10CE2BFC" w14:textId="77777777" w:rsidR="00517CBB" w:rsidRPr="00A71890" w:rsidRDefault="00517CBB" w:rsidP="00517CBB">
            <w:pPr>
              <w:rPr>
                <w:b/>
                <w:bCs/>
                <w:szCs w:val="22"/>
              </w:rPr>
            </w:pPr>
            <w:r>
              <w:rPr>
                <w:szCs w:val="22"/>
              </w:rPr>
              <w:t xml:space="preserve">Arrangements for Board engagement in discussion and scrutinising of the saving proposals were discussed and it was agreed that </w:t>
            </w:r>
            <w:r w:rsidRPr="00A71890">
              <w:rPr>
                <w:b/>
                <w:bCs/>
                <w:szCs w:val="22"/>
              </w:rPr>
              <w:t>S Hewitt and L O’Donnell would further consider arrangements.</w:t>
            </w:r>
          </w:p>
          <w:p w14:paraId="507A2263" w14:textId="77777777" w:rsidR="00517CBB" w:rsidRDefault="00517CBB" w:rsidP="00517CBB">
            <w:pPr>
              <w:rPr>
                <w:szCs w:val="22"/>
              </w:rPr>
            </w:pPr>
          </w:p>
          <w:p w14:paraId="78860082" w14:textId="77777777" w:rsidR="00517CBB" w:rsidRPr="00307C3A" w:rsidRDefault="00517CBB" w:rsidP="00517CBB">
            <w:pPr>
              <w:rPr>
                <w:szCs w:val="22"/>
              </w:rPr>
            </w:pPr>
            <w:r w:rsidRPr="00307C3A">
              <w:rPr>
                <w:szCs w:val="22"/>
              </w:rPr>
              <w:t>L O</w:t>
            </w:r>
            <w:r>
              <w:rPr>
                <w:szCs w:val="22"/>
              </w:rPr>
              <w:t>’Donnell</w:t>
            </w:r>
            <w:r w:rsidRPr="00307C3A">
              <w:rPr>
                <w:szCs w:val="22"/>
              </w:rPr>
              <w:t xml:space="preserve"> concluded by thanking the </w:t>
            </w:r>
            <w:r>
              <w:rPr>
                <w:szCs w:val="22"/>
              </w:rPr>
              <w:t>B</w:t>
            </w:r>
            <w:r w:rsidRPr="00307C3A">
              <w:rPr>
                <w:szCs w:val="22"/>
              </w:rPr>
              <w:t>oard for their engagement and support.</w:t>
            </w:r>
          </w:p>
          <w:p w14:paraId="47CE858B" w14:textId="77777777" w:rsidR="00517CBB" w:rsidRDefault="00517CBB" w:rsidP="00517CBB">
            <w:pPr>
              <w:rPr>
                <w:sz w:val="20"/>
              </w:rPr>
            </w:pPr>
          </w:p>
          <w:p w14:paraId="58E60B53" w14:textId="77777777" w:rsidR="00517CBB" w:rsidRPr="002A5664" w:rsidRDefault="00517CBB" w:rsidP="00517CBB">
            <w:pPr>
              <w:rPr>
                <w:sz w:val="20"/>
              </w:rPr>
            </w:pPr>
          </w:p>
          <w:p w14:paraId="0C4D433A" w14:textId="53017EC6" w:rsidR="00517CBB" w:rsidRPr="004E2B73" w:rsidRDefault="00517CBB" w:rsidP="00517CBB">
            <w:pPr>
              <w:pStyle w:val="ListParagraph"/>
              <w:numPr>
                <w:ilvl w:val="1"/>
                <w:numId w:val="1"/>
              </w:numPr>
              <w:ind w:left="357" w:hanging="357"/>
              <w:contextualSpacing w:val="0"/>
              <w:rPr>
                <w:b/>
                <w:bCs/>
                <w:szCs w:val="22"/>
              </w:rPr>
            </w:pPr>
            <w:r w:rsidRPr="004E2B73">
              <w:rPr>
                <w:b/>
                <w:bCs/>
                <w:szCs w:val="22"/>
              </w:rPr>
              <w:t>2025/26 Budget</w:t>
            </w:r>
          </w:p>
          <w:p w14:paraId="0B18B3E8" w14:textId="77777777" w:rsidR="00517CBB" w:rsidRDefault="00517CBB" w:rsidP="00517CBB">
            <w:pPr>
              <w:rPr>
                <w:sz w:val="20"/>
              </w:rPr>
            </w:pPr>
          </w:p>
          <w:p w14:paraId="4DBA88B9" w14:textId="77777777" w:rsidR="00517CBB" w:rsidRPr="0089691C" w:rsidRDefault="00517CBB" w:rsidP="00517CBB">
            <w:pPr>
              <w:pStyle w:val="TableParagraph"/>
              <w:spacing w:before="0"/>
              <w:rPr>
                <w:bCs/>
              </w:rPr>
            </w:pPr>
            <w:r>
              <w:rPr>
                <w:bCs/>
              </w:rPr>
              <w:t>N</w:t>
            </w:r>
            <w:r w:rsidRPr="009E7F23">
              <w:rPr>
                <w:bCs/>
              </w:rPr>
              <w:t xml:space="preserve"> Anderson presented the paper for </w:t>
            </w:r>
            <w:r>
              <w:rPr>
                <w:bCs/>
              </w:rPr>
              <w:t>approval</w:t>
            </w:r>
            <w:r w:rsidRPr="009E7F23">
              <w:rPr>
                <w:bCs/>
              </w:rPr>
              <w:t xml:space="preserve"> and advised Members of the progress </w:t>
            </w:r>
            <w:r w:rsidRPr="0089691C">
              <w:rPr>
                <w:bCs/>
              </w:rPr>
              <w:t>with the 2025/26 budget, which currently reflected a deficit of £2.3m. She further highlighted the indicative budgets for future years, with a projected deficit of £6.9m in 2026/27 and £6.6m in 2027/28.</w:t>
            </w:r>
          </w:p>
          <w:p w14:paraId="081BF8F4" w14:textId="77777777" w:rsidR="00517CBB" w:rsidRPr="0089691C" w:rsidRDefault="00517CBB" w:rsidP="00517CBB">
            <w:pPr>
              <w:pStyle w:val="TableParagraph"/>
              <w:spacing w:before="0"/>
              <w:rPr>
                <w:bCs/>
              </w:rPr>
            </w:pPr>
          </w:p>
          <w:p w14:paraId="342A50A7" w14:textId="77777777" w:rsidR="00517CBB" w:rsidRPr="00A41BFE" w:rsidRDefault="00517CBB" w:rsidP="00517CBB">
            <w:pPr>
              <w:rPr>
                <w:szCs w:val="22"/>
              </w:rPr>
            </w:pPr>
            <w:r w:rsidRPr="0089691C">
              <w:rPr>
                <w:szCs w:val="22"/>
              </w:rPr>
              <w:t xml:space="preserve">N Anderson noted that, since the paper was written, the CED/RDEL </w:t>
            </w:r>
            <w:r>
              <w:rPr>
                <w:szCs w:val="22"/>
              </w:rPr>
              <w:t>position was still awaiting national resolution.</w:t>
            </w:r>
          </w:p>
          <w:p w14:paraId="5664F05B" w14:textId="77777777" w:rsidR="00517CBB" w:rsidRPr="00A41BFE" w:rsidRDefault="00517CBB" w:rsidP="00517CBB">
            <w:pPr>
              <w:rPr>
                <w:szCs w:val="22"/>
              </w:rPr>
            </w:pPr>
          </w:p>
          <w:p w14:paraId="7965BD27" w14:textId="77777777" w:rsidR="00517CBB" w:rsidRDefault="00517CBB" w:rsidP="00517CBB">
            <w:pPr>
              <w:rPr>
                <w:szCs w:val="22"/>
              </w:rPr>
            </w:pPr>
            <w:r w:rsidRPr="00A41BFE">
              <w:rPr>
                <w:szCs w:val="22"/>
              </w:rPr>
              <w:t>B Lawrie acknowledged the draft budget, confirming that savings would</w:t>
            </w:r>
            <w:r>
              <w:rPr>
                <w:szCs w:val="22"/>
              </w:rPr>
              <w:t xml:space="preserve"> need to</w:t>
            </w:r>
            <w:r w:rsidRPr="00A41BFE">
              <w:rPr>
                <w:szCs w:val="22"/>
              </w:rPr>
              <w:t xml:space="preserve"> be implemented to restore financial balance. He noted that it may not be possible to achieve this within 2025/26 and that </w:t>
            </w:r>
            <w:r>
              <w:rPr>
                <w:szCs w:val="22"/>
              </w:rPr>
              <w:t xml:space="preserve">a balanced budget might not be possible to achieve until </w:t>
            </w:r>
            <w:r w:rsidRPr="00A41BFE">
              <w:rPr>
                <w:szCs w:val="22"/>
              </w:rPr>
              <w:t xml:space="preserve">2026/27. </w:t>
            </w:r>
          </w:p>
          <w:p w14:paraId="4F16892A" w14:textId="77777777" w:rsidR="00517CBB" w:rsidRDefault="00517CBB" w:rsidP="00517CBB">
            <w:pPr>
              <w:rPr>
                <w:szCs w:val="22"/>
              </w:rPr>
            </w:pPr>
          </w:p>
          <w:p w14:paraId="2E98DDCF" w14:textId="77777777" w:rsidR="00517CBB" w:rsidRPr="00A41BFE" w:rsidRDefault="00517CBB" w:rsidP="00517CBB">
            <w:pPr>
              <w:rPr>
                <w:szCs w:val="22"/>
              </w:rPr>
            </w:pPr>
            <w:r w:rsidRPr="00A41BFE">
              <w:rPr>
                <w:szCs w:val="22"/>
              </w:rPr>
              <w:t>S Taylor emphasised that Board approval of the budget is required for the College to proceed. R</w:t>
            </w:r>
            <w:r>
              <w:rPr>
                <w:szCs w:val="22"/>
              </w:rPr>
              <w:t xml:space="preserve"> </w:t>
            </w:r>
            <w:r w:rsidRPr="00A41BFE">
              <w:rPr>
                <w:szCs w:val="22"/>
              </w:rPr>
              <w:t xml:space="preserve">Young noted that the extent of budgetary adjustments would need to be </w:t>
            </w:r>
            <w:r>
              <w:rPr>
                <w:szCs w:val="22"/>
              </w:rPr>
              <w:t>made on an on-going basis.</w:t>
            </w:r>
          </w:p>
          <w:p w14:paraId="398227F7" w14:textId="77777777" w:rsidR="00517CBB" w:rsidRPr="00A41BFE" w:rsidRDefault="00517CBB" w:rsidP="00517CBB">
            <w:pPr>
              <w:rPr>
                <w:szCs w:val="22"/>
              </w:rPr>
            </w:pPr>
          </w:p>
          <w:p w14:paraId="5143F96F" w14:textId="77777777" w:rsidR="00517CBB" w:rsidRDefault="00517CBB" w:rsidP="00517CBB">
            <w:pPr>
              <w:rPr>
                <w:szCs w:val="22"/>
              </w:rPr>
            </w:pPr>
            <w:r w:rsidRPr="00A41BFE">
              <w:rPr>
                <w:szCs w:val="22"/>
              </w:rPr>
              <w:t xml:space="preserve">K McIntosh </w:t>
            </w:r>
            <w:r>
              <w:rPr>
                <w:szCs w:val="22"/>
              </w:rPr>
              <w:t>asked if this meant that</w:t>
            </w:r>
            <w:r w:rsidRPr="00A41BFE">
              <w:rPr>
                <w:szCs w:val="22"/>
              </w:rPr>
              <w:t xml:space="preserve"> the current financial year </w:t>
            </w:r>
            <w:r>
              <w:rPr>
                <w:szCs w:val="22"/>
              </w:rPr>
              <w:t xml:space="preserve">would result in a </w:t>
            </w:r>
            <w:r w:rsidRPr="00A41BFE">
              <w:rPr>
                <w:szCs w:val="22"/>
              </w:rPr>
              <w:t>net deficit. N</w:t>
            </w:r>
            <w:r>
              <w:rPr>
                <w:szCs w:val="22"/>
              </w:rPr>
              <w:t> </w:t>
            </w:r>
            <w:r w:rsidRPr="00A41BFE">
              <w:rPr>
                <w:szCs w:val="22"/>
              </w:rPr>
              <w:t xml:space="preserve">Anderson explained that, without intervention, the projected deficit for the year would be £2.3 million. </w:t>
            </w:r>
            <w:r>
              <w:rPr>
                <w:szCs w:val="22"/>
              </w:rPr>
              <w:t>Sh</w:t>
            </w:r>
            <w:r w:rsidRPr="00A41BFE">
              <w:rPr>
                <w:szCs w:val="22"/>
              </w:rPr>
              <w:t xml:space="preserve">e added that, through consultations and planned decisions by the end of </w:t>
            </w:r>
            <w:r>
              <w:rPr>
                <w:szCs w:val="22"/>
              </w:rPr>
              <w:t>the calendar year this would be reduced, but that additional voluntary severance costs would also be incurred but the underlying financial position would be improved.</w:t>
            </w:r>
          </w:p>
          <w:p w14:paraId="657460B7" w14:textId="77777777" w:rsidR="00AF3776" w:rsidRPr="00292EBE" w:rsidRDefault="00AF3776" w:rsidP="00AF3776">
            <w:pPr>
              <w:pStyle w:val="TableParagraph"/>
              <w:spacing w:before="0"/>
              <w:rPr>
                <w:bCs/>
              </w:rPr>
            </w:pPr>
          </w:p>
          <w:p w14:paraId="3F291E81" w14:textId="23751973" w:rsidR="00292EBE" w:rsidRPr="00292EBE" w:rsidRDefault="00292EBE" w:rsidP="00292EBE">
            <w:pPr>
              <w:rPr>
                <w:szCs w:val="22"/>
              </w:rPr>
            </w:pPr>
            <w:r w:rsidRPr="00292EBE">
              <w:rPr>
                <w:szCs w:val="22"/>
              </w:rPr>
              <w:t>B Lawrie expressed concern at a personal and professional level in terms of approving a deficit budget.  He accepted and acknowledged the detail provided, as the base position, and recommended approval of necessary actions to bring the budget into balance as soon as feasible, acknowledging that the full level of savings may not be achieved within the 2025/26 year.  The Board recognised this and approved the 2025/26 budget process as outlined which would deliver financial sustainability within the three year budget period.</w:t>
            </w:r>
          </w:p>
          <w:p w14:paraId="28A81B5C" w14:textId="77777777" w:rsidR="00517CBB" w:rsidRPr="002A5664" w:rsidRDefault="00517CBB" w:rsidP="00517CBB">
            <w:pPr>
              <w:rPr>
                <w:sz w:val="20"/>
              </w:rPr>
            </w:pPr>
          </w:p>
          <w:p w14:paraId="542E5111" w14:textId="77777777" w:rsidR="00517CBB" w:rsidRPr="00E06DDE" w:rsidRDefault="00517CBB" w:rsidP="00517CBB">
            <w:pPr>
              <w:pStyle w:val="ListParagraph"/>
              <w:numPr>
                <w:ilvl w:val="1"/>
                <w:numId w:val="1"/>
              </w:numPr>
              <w:ind w:left="357" w:hanging="357"/>
              <w:contextualSpacing w:val="0"/>
              <w:rPr>
                <w:b/>
                <w:bCs/>
                <w:szCs w:val="22"/>
              </w:rPr>
            </w:pPr>
            <w:r w:rsidRPr="00E06DDE">
              <w:rPr>
                <w:b/>
                <w:bCs/>
                <w:szCs w:val="22"/>
              </w:rPr>
              <w:t xml:space="preserve">Financial Forecast Return (FFR) </w:t>
            </w:r>
          </w:p>
          <w:p w14:paraId="0FE8DF4E" w14:textId="77777777" w:rsidR="00517CBB" w:rsidRDefault="00517CBB" w:rsidP="00517CBB">
            <w:pPr>
              <w:rPr>
                <w:sz w:val="20"/>
              </w:rPr>
            </w:pPr>
          </w:p>
          <w:p w14:paraId="73CB7CEA" w14:textId="77777777" w:rsidR="00517CBB" w:rsidRPr="002E76EE" w:rsidRDefault="00517CBB" w:rsidP="00517CBB">
            <w:pPr>
              <w:pStyle w:val="TableParagraph"/>
              <w:spacing w:before="0"/>
              <w:rPr>
                <w:bCs/>
              </w:rPr>
            </w:pPr>
            <w:r>
              <w:rPr>
                <w:bCs/>
              </w:rPr>
              <w:t>N Anderson highlighted to the Board the Financial Forecast Return was approved by the Chair- L O’Donnell.</w:t>
            </w:r>
          </w:p>
          <w:p w14:paraId="43C3DC02" w14:textId="77777777" w:rsidR="00517CBB" w:rsidRPr="002A5664" w:rsidRDefault="00517CBB" w:rsidP="00517CBB">
            <w:pPr>
              <w:rPr>
                <w:sz w:val="20"/>
              </w:rPr>
            </w:pPr>
          </w:p>
          <w:p w14:paraId="4BDC0959" w14:textId="77777777" w:rsidR="00517CBB" w:rsidRPr="001451DF" w:rsidRDefault="00517CBB" w:rsidP="00517CBB">
            <w:pPr>
              <w:pStyle w:val="ListParagraph"/>
              <w:numPr>
                <w:ilvl w:val="1"/>
                <w:numId w:val="1"/>
              </w:numPr>
              <w:ind w:left="737" w:hanging="737"/>
              <w:contextualSpacing w:val="0"/>
              <w:rPr>
                <w:b/>
                <w:bCs/>
                <w:szCs w:val="22"/>
              </w:rPr>
            </w:pPr>
            <w:r w:rsidRPr="001451DF">
              <w:rPr>
                <w:b/>
                <w:bCs/>
                <w:szCs w:val="22"/>
              </w:rPr>
              <w:t>Finance &amp; Infrastructure Committee End of Year Forecast (for information only)</w:t>
            </w:r>
          </w:p>
          <w:p w14:paraId="535F8641" w14:textId="77777777" w:rsidR="00517CBB" w:rsidRPr="00C154E8" w:rsidRDefault="00517CBB" w:rsidP="00517CBB">
            <w:pPr>
              <w:rPr>
                <w:szCs w:val="22"/>
              </w:rPr>
            </w:pPr>
          </w:p>
          <w:p w14:paraId="12AE4D2C" w14:textId="77777777" w:rsidR="00517CBB" w:rsidRPr="00C154E8" w:rsidRDefault="00517CBB" w:rsidP="00517CBB">
            <w:pPr>
              <w:rPr>
                <w:szCs w:val="22"/>
              </w:rPr>
            </w:pPr>
            <w:r w:rsidRPr="00C154E8">
              <w:rPr>
                <w:szCs w:val="22"/>
              </w:rPr>
              <w:t xml:space="preserve">N Anderson stated that the paper </w:t>
            </w:r>
            <w:r>
              <w:rPr>
                <w:szCs w:val="22"/>
              </w:rPr>
              <w:t xml:space="preserve">was </w:t>
            </w:r>
            <w:r w:rsidRPr="00C154E8">
              <w:rPr>
                <w:szCs w:val="22"/>
              </w:rPr>
              <w:t xml:space="preserve">for noting. She reported that the end-of-year accounts had been submitted to the auditors </w:t>
            </w:r>
            <w:r>
              <w:rPr>
                <w:szCs w:val="22"/>
              </w:rPr>
              <w:t>on 30 September 2025</w:t>
            </w:r>
            <w:r w:rsidRPr="00C154E8">
              <w:rPr>
                <w:szCs w:val="22"/>
              </w:rPr>
              <w:t>, reflecting a deficit of £235,000.</w:t>
            </w:r>
          </w:p>
          <w:p w14:paraId="43D3577E" w14:textId="77777777" w:rsidR="00517CBB" w:rsidRPr="00C154E8" w:rsidRDefault="00517CBB" w:rsidP="00517CBB">
            <w:pPr>
              <w:rPr>
                <w:szCs w:val="22"/>
              </w:rPr>
            </w:pPr>
          </w:p>
          <w:p w14:paraId="1DD053B1" w14:textId="77777777" w:rsidR="00517CBB" w:rsidRPr="00C154E8" w:rsidRDefault="00517CBB" w:rsidP="00517CBB">
            <w:pPr>
              <w:rPr>
                <w:szCs w:val="22"/>
              </w:rPr>
            </w:pPr>
            <w:r w:rsidRPr="00C154E8">
              <w:rPr>
                <w:szCs w:val="22"/>
              </w:rPr>
              <w:t xml:space="preserve">L O’Donnell thanked N Anderson for the update. </w:t>
            </w:r>
          </w:p>
          <w:p w14:paraId="3B9CB88F" w14:textId="77777777" w:rsidR="00517CBB" w:rsidRDefault="00517CBB" w:rsidP="00646F50">
            <w:pPr>
              <w:rPr>
                <w:b/>
                <w:szCs w:val="22"/>
              </w:rPr>
            </w:pPr>
          </w:p>
        </w:tc>
      </w:tr>
      <w:tr w:rsidR="00517CBB" w:rsidRPr="003974E8" w14:paraId="400C5FAC" w14:textId="77777777" w:rsidTr="00DA5040">
        <w:trPr>
          <w:trHeight w:val="1418"/>
        </w:trPr>
        <w:tc>
          <w:tcPr>
            <w:tcW w:w="568" w:type="dxa"/>
          </w:tcPr>
          <w:p w14:paraId="4C1953F7" w14:textId="77777777" w:rsidR="00517CBB" w:rsidRPr="001A0CC1" w:rsidRDefault="00517CBB" w:rsidP="00646F50">
            <w:pPr>
              <w:pStyle w:val="ListParagraph"/>
              <w:numPr>
                <w:ilvl w:val="0"/>
                <w:numId w:val="1"/>
              </w:numPr>
              <w:ind w:left="0" w:firstLine="0"/>
              <w:contextualSpacing w:val="0"/>
              <w:jc w:val="center"/>
              <w:rPr>
                <w:b/>
                <w:szCs w:val="22"/>
              </w:rPr>
            </w:pPr>
          </w:p>
        </w:tc>
        <w:tc>
          <w:tcPr>
            <w:tcW w:w="9497" w:type="dxa"/>
          </w:tcPr>
          <w:p w14:paraId="35D6102A" w14:textId="77777777" w:rsidR="00517CBB" w:rsidRPr="00EB1664" w:rsidRDefault="00517CBB" w:rsidP="00517CBB">
            <w:pPr>
              <w:rPr>
                <w:b/>
                <w:bCs/>
                <w:szCs w:val="22"/>
              </w:rPr>
            </w:pPr>
            <w:r w:rsidRPr="00EB1664">
              <w:rPr>
                <w:b/>
                <w:bCs/>
                <w:szCs w:val="22"/>
              </w:rPr>
              <w:t>REVIEW OF GOVERNANCE PROFESSIONAL ARRANGEMENTS</w:t>
            </w:r>
          </w:p>
          <w:p w14:paraId="7036F2B2" w14:textId="77777777" w:rsidR="00517CBB" w:rsidRPr="00EB1664" w:rsidRDefault="00517CBB" w:rsidP="00517CBB">
            <w:pPr>
              <w:rPr>
                <w:szCs w:val="22"/>
              </w:rPr>
            </w:pPr>
          </w:p>
          <w:p w14:paraId="35D897E2" w14:textId="77777777" w:rsidR="00B07CE8" w:rsidRDefault="00B07CE8" w:rsidP="00517CBB">
            <w:pPr>
              <w:rPr>
                <w:szCs w:val="22"/>
              </w:rPr>
            </w:pPr>
            <w:r>
              <w:rPr>
                <w:szCs w:val="22"/>
              </w:rPr>
              <w:t>S Taylor noted his conflict of interest and withdrew from the meeting for this item.</w:t>
            </w:r>
          </w:p>
          <w:p w14:paraId="41899CF9" w14:textId="77777777" w:rsidR="00B07CE8" w:rsidRDefault="00B07CE8" w:rsidP="00517CBB">
            <w:pPr>
              <w:rPr>
                <w:szCs w:val="22"/>
              </w:rPr>
            </w:pPr>
          </w:p>
          <w:p w14:paraId="070995E5" w14:textId="514790C4" w:rsidR="00517CBB" w:rsidRPr="00EB1664" w:rsidRDefault="00517CBB" w:rsidP="00517CBB">
            <w:pPr>
              <w:rPr>
                <w:szCs w:val="22"/>
              </w:rPr>
            </w:pPr>
            <w:r w:rsidRPr="00EB1664">
              <w:rPr>
                <w:szCs w:val="22"/>
              </w:rPr>
              <w:t xml:space="preserve">L O’Donnell acknowledged the progress made and thanked S Hewitt for his work. </w:t>
            </w:r>
          </w:p>
          <w:p w14:paraId="15C83627" w14:textId="77777777" w:rsidR="00517CBB" w:rsidRPr="00EB1664" w:rsidRDefault="00517CBB" w:rsidP="00517CBB">
            <w:pPr>
              <w:rPr>
                <w:szCs w:val="22"/>
              </w:rPr>
            </w:pPr>
            <w:r w:rsidRPr="00EB1664">
              <w:rPr>
                <w:szCs w:val="22"/>
              </w:rPr>
              <w:t xml:space="preserve">Three key areas of agreement were identified: the need to address </w:t>
            </w:r>
            <w:r>
              <w:rPr>
                <w:szCs w:val="22"/>
              </w:rPr>
              <w:t xml:space="preserve">possible </w:t>
            </w:r>
            <w:r w:rsidRPr="00EB1664">
              <w:rPr>
                <w:szCs w:val="22"/>
              </w:rPr>
              <w:t xml:space="preserve">conflicts of interest, to ensure compliance with </w:t>
            </w:r>
            <w:r>
              <w:rPr>
                <w:szCs w:val="22"/>
              </w:rPr>
              <w:t xml:space="preserve">the </w:t>
            </w:r>
            <w:r w:rsidRPr="00EB1664">
              <w:rPr>
                <w:szCs w:val="22"/>
              </w:rPr>
              <w:t>governance</w:t>
            </w:r>
            <w:r>
              <w:rPr>
                <w:szCs w:val="22"/>
              </w:rPr>
              <w:t xml:space="preserve"> code</w:t>
            </w:r>
            <w:r w:rsidRPr="00EB1664">
              <w:rPr>
                <w:szCs w:val="22"/>
              </w:rPr>
              <w:t>, and to protect the Board from potential risks. The Board discussed the possibility of making an external appointment but concluded that this would be costly and could create additional complications.</w:t>
            </w:r>
          </w:p>
          <w:p w14:paraId="3CD24657" w14:textId="77777777" w:rsidR="00517CBB" w:rsidRPr="00EB1664" w:rsidRDefault="00517CBB" w:rsidP="00517CBB">
            <w:pPr>
              <w:rPr>
                <w:szCs w:val="22"/>
              </w:rPr>
            </w:pPr>
          </w:p>
          <w:p w14:paraId="69E15F14" w14:textId="77777777" w:rsidR="00517CBB" w:rsidRDefault="00517CBB" w:rsidP="00517CBB">
            <w:pPr>
              <w:rPr>
                <w:szCs w:val="22"/>
              </w:rPr>
            </w:pPr>
            <w:r w:rsidRPr="00EB1664">
              <w:rPr>
                <w:szCs w:val="22"/>
              </w:rPr>
              <w:t xml:space="preserve">There was some disagreement regarding timescales. It was noted that the report from May 2024 had recommended separating the role of Board Secretary from the Senior Leadership Team (SLT) and that this remained the only outstanding recommendation. </w:t>
            </w:r>
          </w:p>
          <w:p w14:paraId="06097C8D" w14:textId="77777777" w:rsidR="00517CBB" w:rsidRDefault="00517CBB" w:rsidP="00517CBB">
            <w:pPr>
              <w:rPr>
                <w:szCs w:val="22"/>
              </w:rPr>
            </w:pPr>
          </w:p>
          <w:p w14:paraId="34FBF17C" w14:textId="77777777" w:rsidR="00517CBB" w:rsidRPr="00EB1664" w:rsidRDefault="00517CBB" w:rsidP="00517CBB">
            <w:pPr>
              <w:rPr>
                <w:szCs w:val="22"/>
              </w:rPr>
            </w:pPr>
            <w:r w:rsidRPr="00EB1664">
              <w:rPr>
                <w:szCs w:val="22"/>
              </w:rPr>
              <w:t>L O’Donnell proposed postponing the appointment until January 2026, highlighting the pressures on the SLT given budget responsibilities and reduced capacity. S Hewitt confirmed that the timing of the appointment was the main consideration and emphasised that appointing an internal candidate would minimise risk to both the Board and the SLT.</w:t>
            </w:r>
          </w:p>
          <w:p w14:paraId="406BE7BB" w14:textId="77777777" w:rsidR="00517CBB" w:rsidRPr="00EB1664" w:rsidRDefault="00517CBB" w:rsidP="00517CBB">
            <w:pPr>
              <w:rPr>
                <w:szCs w:val="22"/>
              </w:rPr>
            </w:pPr>
          </w:p>
          <w:p w14:paraId="06A5C7EE" w14:textId="77777777" w:rsidR="00517CBB" w:rsidRDefault="00517CBB" w:rsidP="00517CBB">
            <w:pPr>
              <w:rPr>
                <w:szCs w:val="22"/>
              </w:rPr>
            </w:pPr>
            <w:r w:rsidRPr="00EB1664">
              <w:rPr>
                <w:szCs w:val="22"/>
              </w:rPr>
              <w:t xml:space="preserve">C Cusick observed that a full recruitment process would be required, while R Young suggested that this could provide an opportunity to upskill a part-time candidate. S Hewitt agreed that such an approach could be incorporated into the timeline. </w:t>
            </w:r>
          </w:p>
          <w:p w14:paraId="20F3A485" w14:textId="77777777" w:rsidR="00517CBB" w:rsidRDefault="00517CBB" w:rsidP="00517CBB">
            <w:pPr>
              <w:rPr>
                <w:szCs w:val="22"/>
              </w:rPr>
            </w:pPr>
          </w:p>
          <w:p w14:paraId="3DFB387D" w14:textId="77777777" w:rsidR="00517CBB" w:rsidRDefault="00517CBB" w:rsidP="00517CBB">
            <w:pPr>
              <w:rPr>
                <w:szCs w:val="22"/>
              </w:rPr>
            </w:pPr>
            <w:r w:rsidRPr="00792701">
              <w:rPr>
                <w:szCs w:val="22"/>
              </w:rPr>
              <w:t>B Mooney emphasised the need to unbundle the role in order to identify governance-sensitive responsibilities. H Honeyman underlined the importance of providing mentorship and support to ensure audit compliance, while D Mackenzie stressed that the matter should be addressed without delay.</w:t>
            </w:r>
          </w:p>
          <w:p w14:paraId="69B2F9C3" w14:textId="77777777" w:rsidR="00517CBB" w:rsidRDefault="00517CBB" w:rsidP="00517CBB">
            <w:pPr>
              <w:rPr>
                <w:szCs w:val="22"/>
              </w:rPr>
            </w:pPr>
          </w:p>
          <w:p w14:paraId="605D4C6D" w14:textId="77777777" w:rsidR="00B07CE8" w:rsidRDefault="00B07CE8" w:rsidP="00517CBB">
            <w:pPr>
              <w:rPr>
                <w:szCs w:val="22"/>
              </w:rPr>
            </w:pPr>
          </w:p>
          <w:p w14:paraId="09C065D6" w14:textId="77777777" w:rsidR="00B07CE8" w:rsidRDefault="00B07CE8" w:rsidP="00517CBB">
            <w:pPr>
              <w:rPr>
                <w:szCs w:val="22"/>
              </w:rPr>
            </w:pPr>
          </w:p>
          <w:p w14:paraId="2BE3E347" w14:textId="77777777" w:rsidR="00B07CE8" w:rsidRPr="00EB1664" w:rsidRDefault="00B07CE8" w:rsidP="00517CBB">
            <w:pPr>
              <w:rPr>
                <w:szCs w:val="22"/>
              </w:rPr>
            </w:pPr>
          </w:p>
          <w:p w14:paraId="12248C54" w14:textId="77777777" w:rsidR="00517CBB" w:rsidRDefault="00517CBB" w:rsidP="00517CBB">
            <w:pPr>
              <w:rPr>
                <w:szCs w:val="22"/>
              </w:rPr>
            </w:pPr>
            <w:r w:rsidRPr="00EB1664">
              <w:rPr>
                <w:szCs w:val="22"/>
              </w:rPr>
              <w:lastRenderedPageBreak/>
              <w:t xml:space="preserve">L O’Donnell noted that only two colleges currently have a Vice Principal serving as Board Secretary, which is inconsistent with governance guidance, and reiterated the need for action. </w:t>
            </w:r>
          </w:p>
          <w:p w14:paraId="1F2827DE" w14:textId="77777777" w:rsidR="00517CBB" w:rsidRDefault="00517CBB" w:rsidP="00517CBB">
            <w:pPr>
              <w:rPr>
                <w:szCs w:val="22"/>
              </w:rPr>
            </w:pPr>
          </w:p>
          <w:p w14:paraId="628E2FB6" w14:textId="77777777" w:rsidR="00517CBB" w:rsidRPr="00EB1664" w:rsidRDefault="00517CBB" w:rsidP="00517CBB">
            <w:pPr>
              <w:rPr>
                <w:szCs w:val="22"/>
              </w:rPr>
            </w:pPr>
            <w:r w:rsidRPr="00EB1664">
              <w:rPr>
                <w:szCs w:val="22"/>
              </w:rPr>
              <w:t xml:space="preserve">S Hewitt confirmed the importance of the role, and the Board </w:t>
            </w:r>
            <w:r>
              <w:rPr>
                <w:szCs w:val="22"/>
              </w:rPr>
              <w:t xml:space="preserve">agreed that it was comfortable with the </w:t>
            </w:r>
            <w:r w:rsidRPr="00EB1664">
              <w:rPr>
                <w:szCs w:val="22"/>
              </w:rPr>
              <w:t xml:space="preserve">associated additional annual expenditure of </w:t>
            </w:r>
            <w:r>
              <w:rPr>
                <w:szCs w:val="22"/>
              </w:rPr>
              <w:t>c</w:t>
            </w:r>
            <w:r w:rsidRPr="00EB1664">
              <w:rPr>
                <w:szCs w:val="22"/>
              </w:rPr>
              <w:t xml:space="preserve">£43,000. </w:t>
            </w:r>
          </w:p>
          <w:p w14:paraId="03C93E93" w14:textId="77777777" w:rsidR="00517CBB" w:rsidRPr="00EB1664" w:rsidRDefault="00517CBB" w:rsidP="00517CBB">
            <w:pPr>
              <w:rPr>
                <w:szCs w:val="22"/>
              </w:rPr>
            </w:pPr>
          </w:p>
          <w:p w14:paraId="5A723EA1" w14:textId="77777777" w:rsidR="00517CBB" w:rsidRDefault="00517CBB" w:rsidP="00517CBB">
            <w:pPr>
              <w:rPr>
                <w:szCs w:val="22"/>
              </w:rPr>
            </w:pPr>
            <w:r w:rsidRPr="00244E8A">
              <w:rPr>
                <w:szCs w:val="22"/>
              </w:rPr>
              <w:t xml:space="preserve">The Board agreed that the preferred approach was to </w:t>
            </w:r>
            <w:r>
              <w:rPr>
                <w:szCs w:val="22"/>
              </w:rPr>
              <w:t>make</w:t>
            </w:r>
            <w:r w:rsidRPr="00244E8A">
              <w:rPr>
                <w:szCs w:val="22"/>
              </w:rPr>
              <w:t xml:space="preserve"> an internal, part-time appointment and resolved to appoint an independent Governance Professional to support its operations, replacing responsibilities previously undertaken by the Vice Principal, Support Services and Operations. </w:t>
            </w:r>
          </w:p>
          <w:p w14:paraId="6BD98D4A" w14:textId="77777777" w:rsidR="00517CBB" w:rsidRPr="00244E8A" w:rsidRDefault="00517CBB" w:rsidP="00517CBB">
            <w:pPr>
              <w:rPr>
                <w:szCs w:val="22"/>
              </w:rPr>
            </w:pPr>
          </w:p>
          <w:p w14:paraId="140E31D1" w14:textId="77777777" w:rsidR="00517CBB" w:rsidRPr="00244E8A" w:rsidRDefault="00517CBB" w:rsidP="00517CBB">
            <w:pPr>
              <w:rPr>
                <w:b/>
                <w:bCs/>
                <w:szCs w:val="22"/>
              </w:rPr>
            </w:pPr>
            <w:r w:rsidRPr="00244E8A">
              <w:rPr>
                <w:szCs w:val="22"/>
              </w:rPr>
              <w:t xml:space="preserve">In line with governance </w:t>
            </w:r>
            <w:r>
              <w:rPr>
                <w:szCs w:val="22"/>
              </w:rPr>
              <w:t>requirements</w:t>
            </w:r>
            <w:r w:rsidRPr="00244E8A">
              <w:rPr>
                <w:szCs w:val="22"/>
              </w:rPr>
              <w:t xml:space="preserve">, the Board further agreed to conclude S Taylor’s tenure as Board Secretary </w:t>
            </w:r>
            <w:r>
              <w:rPr>
                <w:szCs w:val="22"/>
              </w:rPr>
              <w:t>on appointment of the new</w:t>
            </w:r>
            <w:r w:rsidRPr="00244E8A">
              <w:rPr>
                <w:szCs w:val="22"/>
              </w:rPr>
              <w:t xml:space="preserve">, with the new role to be in place by January 2026. </w:t>
            </w:r>
            <w:r w:rsidRPr="00244E8A">
              <w:rPr>
                <w:b/>
                <w:bCs/>
                <w:szCs w:val="22"/>
              </w:rPr>
              <w:t xml:space="preserve">L O’Donnell </w:t>
            </w:r>
            <w:r>
              <w:rPr>
                <w:b/>
                <w:bCs/>
                <w:szCs w:val="22"/>
              </w:rPr>
              <w:t xml:space="preserve">and S Hewitt </w:t>
            </w:r>
            <w:r w:rsidRPr="00CD01F0">
              <w:rPr>
                <w:b/>
                <w:bCs/>
                <w:szCs w:val="22"/>
              </w:rPr>
              <w:t>to progress.</w:t>
            </w:r>
          </w:p>
          <w:p w14:paraId="02B6F61D" w14:textId="77777777" w:rsidR="00517CBB" w:rsidRDefault="00517CBB" w:rsidP="00646F50">
            <w:pPr>
              <w:rPr>
                <w:b/>
                <w:szCs w:val="22"/>
              </w:rPr>
            </w:pPr>
          </w:p>
        </w:tc>
      </w:tr>
      <w:tr w:rsidR="00811C55" w:rsidRPr="003974E8" w14:paraId="59D401D4" w14:textId="77777777" w:rsidTr="00DA5040">
        <w:trPr>
          <w:trHeight w:val="1418"/>
        </w:trPr>
        <w:tc>
          <w:tcPr>
            <w:tcW w:w="568" w:type="dxa"/>
          </w:tcPr>
          <w:p w14:paraId="3C03FA3A"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20896439" w14:textId="77777777" w:rsidR="00811C55" w:rsidRDefault="00811C55" w:rsidP="00646F50">
            <w:pPr>
              <w:rPr>
                <w:b/>
                <w:szCs w:val="22"/>
              </w:rPr>
            </w:pPr>
            <w:r>
              <w:rPr>
                <w:b/>
                <w:szCs w:val="22"/>
              </w:rPr>
              <w:t>NATIONAL ACTIVITY UPDATE</w:t>
            </w:r>
          </w:p>
          <w:p w14:paraId="588C5FC7" w14:textId="77777777" w:rsidR="00646F50" w:rsidRDefault="00646F50" w:rsidP="00646F50">
            <w:pPr>
              <w:rPr>
                <w:bCs/>
                <w:szCs w:val="22"/>
              </w:rPr>
            </w:pPr>
          </w:p>
          <w:p w14:paraId="7FA367EC" w14:textId="04D0C7C4" w:rsidR="00811C55" w:rsidRPr="00237777" w:rsidRDefault="00811C55" w:rsidP="00646F50">
            <w:pPr>
              <w:rPr>
                <w:bCs/>
                <w:szCs w:val="22"/>
              </w:rPr>
            </w:pPr>
            <w:r w:rsidRPr="00237777">
              <w:rPr>
                <w:bCs/>
                <w:szCs w:val="22"/>
              </w:rPr>
              <w:t>L O’Donnell reported on the appointment of a new Minister and advised that an election is forthcoming. The Board noted that members are familiar with current developments in Scotland, the United Kingdom, and nationally.</w:t>
            </w:r>
          </w:p>
        </w:tc>
      </w:tr>
      <w:tr w:rsidR="00811C55" w:rsidRPr="003974E8" w14:paraId="069A7F67" w14:textId="77777777" w:rsidTr="00811C55">
        <w:tc>
          <w:tcPr>
            <w:tcW w:w="568" w:type="dxa"/>
          </w:tcPr>
          <w:p w14:paraId="3556FD0E"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2DB0162E" w14:textId="0DF3F5C5" w:rsidR="00811C55" w:rsidRDefault="00811C55" w:rsidP="00646F50">
            <w:pPr>
              <w:rPr>
                <w:b/>
                <w:szCs w:val="22"/>
              </w:rPr>
            </w:pPr>
            <w:r>
              <w:rPr>
                <w:b/>
                <w:szCs w:val="22"/>
              </w:rPr>
              <w:t>INFRASTRUCTURE VISION UPDATE</w:t>
            </w:r>
          </w:p>
          <w:p w14:paraId="57B9256E" w14:textId="77777777" w:rsidR="00646F50" w:rsidRDefault="00646F50" w:rsidP="00646F50">
            <w:pPr>
              <w:rPr>
                <w:bCs/>
                <w:szCs w:val="22"/>
              </w:rPr>
            </w:pPr>
          </w:p>
          <w:p w14:paraId="7AF55A15" w14:textId="77777777" w:rsidR="00646F50" w:rsidRDefault="00811C55" w:rsidP="00646F50">
            <w:pPr>
              <w:rPr>
                <w:bCs/>
                <w:szCs w:val="22"/>
              </w:rPr>
            </w:pPr>
            <w:r w:rsidRPr="00302760">
              <w:rPr>
                <w:bCs/>
                <w:szCs w:val="22"/>
              </w:rPr>
              <w:t>The paper was for information only.</w:t>
            </w:r>
          </w:p>
          <w:p w14:paraId="27346F47" w14:textId="74DDC5AC" w:rsidR="00811C55" w:rsidRPr="00302760" w:rsidRDefault="00811C55" w:rsidP="00646F50">
            <w:pPr>
              <w:rPr>
                <w:bCs/>
                <w:szCs w:val="22"/>
              </w:rPr>
            </w:pPr>
            <w:r w:rsidRPr="00302760">
              <w:rPr>
                <w:bCs/>
                <w:szCs w:val="22"/>
              </w:rPr>
              <w:t xml:space="preserve"> </w:t>
            </w:r>
          </w:p>
          <w:p w14:paraId="799CD147" w14:textId="63F2AC98" w:rsidR="00811C55" w:rsidRDefault="00811C55" w:rsidP="00646F50">
            <w:pPr>
              <w:rPr>
                <w:bCs/>
                <w:szCs w:val="22"/>
              </w:rPr>
            </w:pPr>
            <w:r w:rsidRPr="00302760">
              <w:rPr>
                <w:bCs/>
                <w:szCs w:val="22"/>
              </w:rPr>
              <w:t xml:space="preserve">S Hewitt highlighted since its circulation, further conversations had taken place. </w:t>
            </w:r>
            <w:r>
              <w:rPr>
                <w:bCs/>
                <w:szCs w:val="22"/>
              </w:rPr>
              <w:t>S</w:t>
            </w:r>
            <w:r w:rsidRPr="00302760">
              <w:rPr>
                <w:bCs/>
                <w:szCs w:val="22"/>
              </w:rPr>
              <w:t xml:space="preserve"> Hewitt reported that he had visited Parliament and advised that it appeared the project would feature in both the Labour and SNP manifestos, as well as within the </w:t>
            </w:r>
            <w:r w:rsidR="00F065E4">
              <w:rPr>
                <w:bCs/>
                <w:szCs w:val="22"/>
              </w:rPr>
              <w:t xml:space="preserve">Government </w:t>
            </w:r>
            <w:r w:rsidRPr="00302760">
              <w:rPr>
                <w:bCs/>
                <w:szCs w:val="22"/>
              </w:rPr>
              <w:t xml:space="preserve">Infrastructure Pipeline </w:t>
            </w:r>
            <w:r w:rsidR="00F065E4">
              <w:rPr>
                <w:bCs/>
                <w:szCs w:val="22"/>
              </w:rPr>
              <w:t>plan</w:t>
            </w:r>
            <w:r w:rsidRPr="00302760">
              <w:rPr>
                <w:bCs/>
                <w:szCs w:val="22"/>
              </w:rPr>
              <w:t xml:space="preserve"> awaiting approval. He further noted that Shona Robison had engaged in positive discussions on the matter. </w:t>
            </w:r>
          </w:p>
          <w:p w14:paraId="27537283" w14:textId="77777777" w:rsidR="00646F50" w:rsidRPr="003067A8" w:rsidRDefault="00646F50" w:rsidP="00646F50">
            <w:pPr>
              <w:rPr>
                <w:bCs/>
                <w:szCs w:val="22"/>
              </w:rPr>
            </w:pPr>
          </w:p>
          <w:p w14:paraId="498595FB" w14:textId="66CF1C80" w:rsidR="00811C55" w:rsidRDefault="00811C55" w:rsidP="00646F50">
            <w:pPr>
              <w:rPr>
                <w:bCs/>
                <w:szCs w:val="22"/>
              </w:rPr>
            </w:pPr>
            <w:r w:rsidRPr="003067A8">
              <w:rPr>
                <w:bCs/>
                <w:szCs w:val="22"/>
              </w:rPr>
              <w:t>S Hewitt stated with regard</w:t>
            </w:r>
            <w:r>
              <w:rPr>
                <w:bCs/>
                <w:szCs w:val="22"/>
              </w:rPr>
              <w:t>s</w:t>
            </w:r>
            <w:r w:rsidRPr="003067A8">
              <w:rPr>
                <w:bCs/>
                <w:szCs w:val="22"/>
              </w:rPr>
              <w:t xml:space="preserve"> to the Welsh mod</w:t>
            </w:r>
            <w:r w:rsidR="00634E68">
              <w:rPr>
                <w:bCs/>
                <w:szCs w:val="22"/>
              </w:rPr>
              <w:t>el</w:t>
            </w:r>
            <w:r w:rsidRPr="003067A8">
              <w:rPr>
                <w:bCs/>
                <w:szCs w:val="22"/>
              </w:rPr>
              <w:t xml:space="preserve">, a discussion had been facilitated between the Welsh and Scottish Governments to progress </w:t>
            </w:r>
            <w:r w:rsidR="00E20299">
              <w:rPr>
                <w:bCs/>
                <w:szCs w:val="22"/>
              </w:rPr>
              <w:t>awareness,</w:t>
            </w:r>
            <w:r w:rsidRPr="003067A8">
              <w:rPr>
                <w:bCs/>
                <w:szCs w:val="22"/>
              </w:rPr>
              <w:t xml:space="preserve"> with significant interest expressed. If approved, this would enable the project to move forward. The Board was informed that the </w:t>
            </w:r>
            <w:r w:rsidR="00190DEA">
              <w:rPr>
                <w:bCs/>
                <w:szCs w:val="22"/>
              </w:rPr>
              <w:t xml:space="preserve">College project </w:t>
            </w:r>
            <w:r w:rsidRPr="003067A8">
              <w:rPr>
                <w:bCs/>
                <w:szCs w:val="22"/>
              </w:rPr>
              <w:t xml:space="preserve">had been identified as a </w:t>
            </w:r>
            <w:r w:rsidR="005852EA">
              <w:rPr>
                <w:bCs/>
                <w:szCs w:val="22"/>
              </w:rPr>
              <w:t xml:space="preserve">possible </w:t>
            </w:r>
            <w:r w:rsidRPr="003067A8">
              <w:rPr>
                <w:bCs/>
                <w:szCs w:val="22"/>
              </w:rPr>
              <w:t xml:space="preserve">pilot to support its development. While good progress was being made, it was acknowledged that a potential risk remained in respect of investor commitment. </w:t>
            </w:r>
          </w:p>
          <w:p w14:paraId="4C965B49" w14:textId="77777777" w:rsidR="00646F50" w:rsidRPr="003067A8" w:rsidRDefault="00646F50" w:rsidP="00646F50">
            <w:pPr>
              <w:rPr>
                <w:bCs/>
                <w:szCs w:val="22"/>
              </w:rPr>
            </w:pPr>
          </w:p>
          <w:p w14:paraId="489800B6" w14:textId="6C56E4C2" w:rsidR="00811C55" w:rsidRDefault="00811C55" w:rsidP="00646F50">
            <w:pPr>
              <w:rPr>
                <w:bCs/>
                <w:szCs w:val="22"/>
              </w:rPr>
            </w:pPr>
            <w:r w:rsidRPr="003067A8">
              <w:rPr>
                <w:bCs/>
                <w:szCs w:val="22"/>
              </w:rPr>
              <w:t>It was noted that S Hewitt emphasised the vision was centred on safeguarding and developing the future.</w:t>
            </w:r>
          </w:p>
          <w:p w14:paraId="0516B7A8" w14:textId="77777777" w:rsidR="00646F50" w:rsidRPr="003067A8" w:rsidRDefault="00646F50" w:rsidP="00646F50">
            <w:pPr>
              <w:rPr>
                <w:bCs/>
                <w:szCs w:val="22"/>
              </w:rPr>
            </w:pPr>
          </w:p>
          <w:p w14:paraId="354CA1AD" w14:textId="3394238B" w:rsidR="00811C55" w:rsidRDefault="00811C55" w:rsidP="00646F50">
            <w:pPr>
              <w:pStyle w:val="TableParagraph"/>
              <w:spacing w:before="0"/>
              <w:rPr>
                <w:bCs/>
              </w:rPr>
            </w:pPr>
            <w:r w:rsidRPr="0030489C">
              <w:rPr>
                <w:bCs/>
              </w:rPr>
              <w:t xml:space="preserve">The meeting </w:t>
            </w:r>
            <w:r>
              <w:rPr>
                <w:bCs/>
              </w:rPr>
              <w:t>welcomed the ongoing</w:t>
            </w:r>
            <w:r w:rsidRPr="0030489C">
              <w:rPr>
                <w:bCs/>
              </w:rPr>
              <w:t xml:space="preserve"> </w:t>
            </w:r>
            <w:r>
              <w:rPr>
                <w:bCs/>
              </w:rPr>
              <w:t xml:space="preserve">progress and </w:t>
            </w:r>
            <w:r w:rsidRPr="0030489C">
              <w:rPr>
                <w:bCs/>
              </w:rPr>
              <w:t>engagemen</w:t>
            </w:r>
            <w:r>
              <w:rPr>
                <w:bCs/>
              </w:rPr>
              <w:t>t.</w:t>
            </w:r>
          </w:p>
          <w:p w14:paraId="6536D029" w14:textId="77777777" w:rsidR="00811C55" w:rsidRDefault="00811C55" w:rsidP="00646F50">
            <w:pPr>
              <w:rPr>
                <w:b/>
                <w:szCs w:val="22"/>
              </w:rPr>
            </w:pPr>
          </w:p>
        </w:tc>
      </w:tr>
      <w:tr w:rsidR="00811C55" w:rsidRPr="003974E8" w14:paraId="0B93E410" w14:textId="77777777" w:rsidTr="00811C55">
        <w:trPr>
          <w:trHeight w:val="1036"/>
        </w:trPr>
        <w:tc>
          <w:tcPr>
            <w:tcW w:w="568" w:type="dxa"/>
          </w:tcPr>
          <w:p w14:paraId="70163841"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1F790B67" w14:textId="77777777" w:rsidR="00811C55" w:rsidRDefault="00811C55" w:rsidP="00646F50">
            <w:pPr>
              <w:rPr>
                <w:b/>
                <w:szCs w:val="22"/>
              </w:rPr>
            </w:pPr>
            <w:r w:rsidRPr="008A0ED7">
              <w:rPr>
                <w:b/>
                <w:szCs w:val="22"/>
              </w:rPr>
              <w:t>STRATEGIC ITEMS</w:t>
            </w:r>
          </w:p>
          <w:p w14:paraId="6B0CC433" w14:textId="77777777" w:rsidR="00811C55" w:rsidRPr="008A0ED7" w:rsidRDefault="00811C55" w:rsidP="00646F50">
            <w:pPr>
              <w:rPr>
                <w:b/>
                <w:szCs w:val="22"/>
              </w:rPr>
            </w:pPr>
          </w:p>
          <w:p w14:paraId="01B73694" w14:textId="77777777" w:rsidR="00811C55" w:rsidRPr="00AF3323" w:rsidRDefault="00811C55" w:rsidP="00646F50">
            <w:pPr>
              <w:pStyle w:val="ListParagraph"/>
              <w:numPr>
                <w:ilvl w:val="1"/>
                <w:numId w:val="1"/>
              </w:numPr>
              <w:ind w:left="772" w:hanging="772"/>
              <w:contextualSpacing w:val="0"/>
              <w:rPr>
                <w:b/>
                <w:bCs/>
                <w:szCs w:val="22"/>
              </w:rPr>
            </w:pPr>
            <w:r w:rsidRPr="00AF3323">
              <w:rPr>
                <w:b/>
                <w:bCs/>
                <w:szCs w:val="22"/>
              </w:rPr>
              <w:t>Board Development Day</w:t>
            </w:r>
          </w:p>
          <w:p w14:paraId="7F218210" w14:textId="77777777" w:rsidR="00811C55" w:rsidRPr="00BE4EF2" w:rsidRDefault="00811C55" w:rsidP="00646F50">
            <w:pPr>
              <w:rPr>
                <w:szCs w:val="22"/>
              </w:rPr>
            </w:pPr>
          </w:p>
          <w:p w14:paraId="13C694EF" w14:textId="015B02BF" w:rsidR="00811C55" w:rsidRDefault="00811C55" w:rsidP="00646F50">
            <w:pPr>
              <w:rPr>
                <w:szCs w:val="22"/>
              </w:rPr>
            </w:pPr>
            <w:r w:rsidRPr="00AF3323">
              <w:rPr>
                <w:szCs w:val="22"/>
              </w:rPr>
              <w:t>L O’Donnell informed the Board that the Development Session will be held on 23</w:t>
            </w:r>
            <w:r w:rsidRPr="00AF3323">
              <w:rPr>
                <w:szCs w:val="22"/>
                <w:vertAlign w:val="superscript"/>
              </w:rPr>
              <w:t>rd</w:t>
            </w:r>
            <w:r w:rsidRPr="00AF3323">
              <w:rPr>
                <w:szCs w:val="22"/>
              </w:rPr>
              <w:t xml:space="preserve"> of October 2025 from 3.00</w:t>
            </w:r>
            <w:r>
              <w:rPr>
                <w:szCs w:val="22"/>
              </w:rPr>
              <w:t>-</w:t>
            </w:r>
            <w:r w:rsidRPr="00AF3323">
              <w:rPr>
                <w:szCs w:val="22"/>
              </w:rPr>
              <w:t>7.00pm. The session will be delivered in two parts: from 3.00</w:t>
            </w:r>
            <w:r>
              <w:rPr>
                <w:szCs w:val="22"/>
              </w:rPr>
              <w:t>-</w:t>
            </w:r>
            <w:r w:rsidRPr="00AF3323">
              <w:rPr>
                <w:szCs w:val="22"/>
              </w:rPr>
              <w:t xml:space="preserve">5.00pm a review of developments within the sector, facilitated with B </w:t>
            </w:r>
            <w:r w:rsidR="00634E68">
              <w:rPr>
                <w:szCs w:val="22"/>
              </w:rPr>
              <w:t>Mooney</w:t>
            </w:r>
            <w:r w:rsidRPr="00AF3323">
              <w:rPr>
                <w:szCs w:val="22"/>
              </w:rPr>
              <w:t>; and from 5.00</w:t>
            </w:r>
            <w:r>
              <w:rPr>
                <w:szCs w:val="22"/>
              </w:rPr>
              <w:t>-</w:t>
            </w:r>
            <w:r w:rsidRPr="00AF3323">
              <w:rPr>
                <w:szCs w:val="22"/>
              </w:rPr>
              <w:t>7.00pm a focus on Board skills and maximising resources to support the College and the Senior Leadership Team.</w:t>
            </w:r>
          </w:p>
          <w:p w14:paraId="3DE31F1E" w14:textId="77777777" w:rsidR="00811C55" w:rsidRDefault="00811C55" w:rsidP="00646F50">
            <w:pPr>
              <w:rPr>
                <w:szCs w:val="22"/>
              </w:rPr>
            </w:pPr>
          </w:p>
          <w:p w14:paraId="7ED152C4" w14:textId="77777777" w:rsidR="00B07CE8" w:rsidRDefault="00B07CE8" w:rsidP="00646F50">
            <w:pPr>
              <w:rPr>
                <w:szCs w:val="22"/>
              </w:rPr>
            </w:pPr>
          </w:p>
          <w:p w14:paraId="0A6AAFF8" w14:textId="77777777" w:rsidR="00B07CE8" w:rsidRDefault="00B07CE8" w:rsidP="00646F50">
            <w:pPr>
              <w:rPr>
                <w:szCs w:val="22"/>
              </w:rPr>
            </w:pPr>
          </w:p>
          <w:p w14:paraId="62BCDCF6" w14:textId="77777777" w:rsidR="00B07CE8" w:rsidRDefault="00B07CE8" w:rsidP="00646F50">
            <w:pPr>
              <w:rPr>
                <w:szCs w:val="22"/>
              </w:rPr>
            </w:pPr>
          </w:p>
          <w:p w14:paraId="7A94E549" w14:textId="77777777" w:rsidR="00B07CE8" w:rsidRPr="00BE4EF2" w:rsidRDefault="00B07CE8" w:rsidP="00646F50">
            <w:pPr>
              <w:rPr>
                <w:szCs w:val="22"/>
              </w:rPr>
            </w:pPr>
          </w:p>
          <w:p w14:paraId="3464962B" w14:textId="6DA4A862" w:rsidR="00811C55" w:rsidRPr="00022E03" w:rsidRDefault="00811C55" w:rsidP="00646F50">
            <w:pPr>
              <w:pStyle w:val="ListParagraph"/>
              <w:numPr>
                <w:ilvl w:val="1"/>
                <w:numId w:val="1"/>
              </w:numPr>
              <w:ind w:left="772" w:hanging="772"/>
              <w:contextualSpacing w:val="0"/>
              <w:rPr>
                <w:b/>
                <w:bCs/>
                <w:szCs w:val="22"/>
              </w:rPr>
            </w:pPr>
            <w:r w:rsidRPr="00AF3323">
              <w:rPr>
                <w:b/>
                <w:bCs/>
                <w:szCs w:val="22"/>
              </w:rPr>
              <w:lastRenderedPageBreak/>
              <w:t>2030 Strategy Launch</w:t>
            </w:r>
          </w:p>
          <w:p w14:paraId="251E76E6" w14:textId="77777777" w:rsidR="00811C55" w:rsidRPr="00FE58E4" w:rsidRDefault="00811C55" w:rsidP="00646F50">
            <w:pPr>
              <w:rPr>
                <w:szCs w:val="22"/>
              </w:rPr>
            </w:pPr>
          </w:p>
          <w:p w14:paraId="5C8439FF" w14:textId="77777777" w:rsidR="00811C55" w:rsidRDefault="00811C55" w:rsidP="00646F50">
            <w:pPr>
              <w:rPr>
                <w:szCs w:val="22"/>
              </w:rPr>
            </w:pPr>
            <w:r w:rsidRPr="00FE58E4">
              <w:rPr>
                <w:szCs w:val="22"/>
              </w:rPr>
              <w:t xml:space="preserve">S Hewitt stated the paper was for information only and thanked Board members for their input, noting that their contributions were helping to shape the future direction. He acknowledged the challenges of launching a strategy but emphasised its importance, highlighting the need for stakeholder engagement and the Board’s role in supporting various aspects. </w:t>
            </w:r>
          </w:p>
          <w:p w14:paraId="5C924CBA" w14:textId="77777777" w:rsidR="00811C55" w:rsidRDefault="00811C55" w:rsidP="00646F50">
            <w:pPr>
              <w:rPr>
                <w:szCs w:val="22"/>
              </w:rPr>
            </w:pPr>
          </w:p>
          <w:p w14:paraId="248A74ED" w14:textId="1E1B56F0" w:rsidR="00811C55" w:rsidRDefault="00811C55" w:rsidP="00646F50">
            <w:pPr>
              <w:rPr>
                <w:szCs w:val="22"/>
              </w:rPr>
            </w:pPr>
            <w:r>
              <w:rPr>
                <w:szCs w:val="22"/>
              </w:rPr>
              <w:t>S Hewitt</w:t>
            </w:r>
            <w:r w:rsidRPr="00FE58E4">
              <w:rPr>
                <w:szCs w:val="22"/>
              </w:rPr>
              <w:t xml:space="preserve"> reported that the Senior Leadership Team had begun considering the strategy over a three-year period, with a longer-term focus on budget planning. </w:t>
            </w:r>
            <w:r>
              <w:rPr>
                <w:szCs w:val="22"/>
              </w:rPr>
              <w:t xml:space="preserve">L </w:t>
            </w:r>
            <w:r w:rsidRPr="00FE58E4">
              <w:rPr>
                <w:szCs w:val="22"/>
              </w:rPr>
              <w:t>O’Donnell confirmed that he was working alongside the development of this strategy.</w:t>
            </w:r>
          </w:p>
          <w:p w14:paraId="37AE62EF" w14:textId="77777777" w:rsidR="00811C55" w:rsidRDefault="00811C55" w:rsidP="00646F50">
            <w:pPr>
              <w:rPr>
                <w:szCs w:val="22"/>
              </w:rPr>
            </w:pPr>
          </w:p>
          <w:p w14:paraId="509E4A84" w14:textId="2B51CABB" w:rsidR="00811C55" w:rsidRDefault="00811C55" w:rsidP="00646F50">
            <w:pPr>
              <w:rPr>
                <w:szCs w:val="22"/>
              </w:rPr>
            </w:pPr>
            <w:r>
              <w:rPr>
                <w:szCs w:val="22"/>
              </w:rPr>
              <w:t xml:space="preserve">L O’Donnell thanked S Hewitt for the update. </w:t>
            </w:r>
          </w:p>
          <w:p w14:paraId="043BEE4E" w14:textId="77777777" w:rsidR="00811C55" w:rsidRPr="00D5176D" w:rsidRDefault="00811C55" w:rsidP="00646F50">
            <w:pPr>
              <w:rPr>
                <w:szCs w:val="22"/>
              </w:rPr>
            </w:pPr>
          </w:p>
          <w:p w14:paraId="7254B28A" w14:textId="6ED08852" w:rsidR="00811C55" w:rsidRPr="00022E03" w:rsidRDefault="00811C55" w:rsidP="00646F50">
            <w:pPr>
              <w:pStyle w:val="ListParagraph"/>
              <w:numPr>
                <w:ilvl w:val="1"/>
                <w:numId w:val="1"/>
              </w:numPr>
              <w:ind w:left="772" w:hanging="772"/>
              <w:contextualSpacing w:val="0"/>
              <w:rPr>
                <w:b/>
                <w:bCs/>
                <w:szCs w:val="22"/>
              </w:rPr>
            </w:pPr>
            <w:r w:rsidRPr="00D5176D">
              <w:rPr>
                <w:b/>
                <w:bCs/>
                <w:szCs w:val="22"/>
              </w:rPr>
              <w:t>Strategic Projects Update</w:t>
            </w:r>
          </w:p>
          <w:p w14:paraId="0E6D1FEE" w14:textId="77777777" w:rsidR="00811C55" w:rsidRDefault="00811C55" w:rsidP="00646F50">
            <w:pPr>
              <w:rPr>
                <w:sz w:val="20"/>
              </w:rPr>
            </w:pPr>
          </w:p>
          <w:p w14:paraId="663ACCDA" w14:textId="77777777" w:rsidR="00811C55" w:rsidRPr="0097746A" w:rsidRDefault="00811C55" w:rsidP="00646F50">
            <w:pPr>
              <w:rPr>
                <w:szCs w:val="22"/>
              </w:rPr>
            </w:pPr>
            <w:r w:rsidRPr="0097746A">
              <w:rPr>
                <w:szCs w:val="22"/>
              </w:rPr>
              <w:t xml:space="preserve">J Grace reported that progress was being made, and targets were being achieved. </w:t>
            </w:r>
          </w:p>
          <w:p w14:paraId="1E1B7C6F" w14:textId="77777777" w:rsidR="00811C55" w:rsidRPr="0097746A" w:rsidRDefault="00811C55" w:rsidP="00646F50">
            <w:pPr>
              <w:rPr>
                <w:szCs w:val="22"/>
              </w:rPr>
            </w:pPr>
          </w:p>
          <w:p w14:paraId="7197417E" w14:textId="50424765" w:rsidR="00811C55" w:rsidRPr="0097746A" w:rsidRDefault="00811C55" w:rsidP="00646F50">
            <w:pPr>
              <w:rPr>
                <w:szCs w:val="22"/>
              </w:rPr>
            </w:pPr>
            <w:r w:rsidRPr="0097746A">
              <w:rPr>
                <w:szCs w:val="22"/>
              </w:rPr>
              <w:t>L O’Donnell thanked J Grace and all those involved for their contributions.</w:t>
            </w:r>
          </w:p>
          <w:p w14:paraId="30B0FB05" w14:textId="77777777" w:rsidR="00FD2172" w:rsidRDefault="00FD2172" w:rsidP="00646F50">
            <w:pPr>
              <w:rPr>
                <w:sz w:val="20"/>
              </w:rPr>
            </w:pPr>
          </w:p>
          <w:p w14:paraId="09696481" w14:textId="77777777" w:rsidR="00FD2172" w:rsidRPr="002A5664" w:rsidRDefault="00FD2172" w:rsidP="00646F50">
            <w:pPr>
              <w:rPr>
                <w:sz w:val="20"/>
              </w:rPr>
            </w:pPr>
          </w:p>
        </w:tc>
      </w:tr>
      <w:tr w:rsidR="00811C55" w:rsidRPr="003974E8" w14:paraId="78CA89A9" w14:textId="77777777" w:rsidTr="00855647">
        <w:trPr>
          <w:trHeight w:val="4820"/>
        </w:trPr>
        <w:tc>
          <w:tcPr>
            <w:tcW w:w="568" w:type="dxa"/>
          </w:tcPr>
          <w:p w14:paraId="43A0EF8A"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31BC927C" w14:textId="78F90DAD" w:rsidR="00811C55" w:rsidRDefault="00811C55" w:rsidP="00646F50">
            <w:pPr>
              <w:rPr>
                <w:b/>
                <w:szCs w:val="22"/>
              </w:rPr>
            </w:pPr>
            <w:r>
              <w:rPr>
                <w:b/>
                <w:szCs w:val="22"/>
              </w:rPr>
              <w:t>STUDENTS’ ASSOCIATION REPORT</w:t>
            </w:r>
          </w:p>
          <w:p w14:paraId="458142B3" w14:textId="77777777" w:rsidR="00D842EB" w:rsidRDefault="00D842EB" w:rsidP="00646F50">
            <w:pPr>
              <w:rPr>
                <w:bCs/>
                <w:szCs w:val="22"/>
              </w:rPr>
            </w:pPr>
          </w:p>
          <w:p w14:paraId="5A9DD044" w14:textId="0EEA1701" w:rsidR="00811C55" w:rsidRDefault="00811C55" w:rsidP="00646F50">
            <w:pPr>
              <w:rPr>
                <w:bCs/>
                <w:szCs w:val="22"/>
              </w:rPr>
            </w:pPr>
            <w:r w:rsidRPr="002B22B1">
              <w:rPr>
                <w:bCs/>
                <w:szCs w:val="22"/>
              </w:rPr>
              <w:t>C</w:t>
            </w:r>
            <w:r w:rsidRPr="00B655EF">
              <w:rPr>
                <w:bCs/>
                <w:szCs w:val="22"/>
              </w:rPr>
              <w:t xml:space="preserve"> Pithie reported on the College’s presence across </w:t>
            </w:r>
            <w:r w:rsidR="002D7001">
              <w:rPr>
                <w:bCs/>
                <w:szCs w:val="22"/>
              </w:rPr>
              <w:t xml:space="preserve">all three campuses for new students starting  their studies. </w:t>
            </w:r>
            <w:r w:rsidRPr="00B655EF">
              <w:rPr>
                <w:bCs/>
                <w:szCs w:val="22"/>
              </w:rPr>
              <w:t xml:space="preserve"> He reflected on the previous Connect 2 initiative and outlined plans to improve it for the coming year. The initiative had been delivered as a team, promoting engagement among students, with many returning to participate. Efforts had increased awareness of the College and enhanced student engagement.</w:t>
            </w:r>
          </w:p>
          <w:p w14:paraId="1C954A75" w14:textId="77777777" w:rsidR="00D842EB" w:rsidRPr="00B655EF" w:rsidRDefault="00D842EB" w:rsidP="00646F50">
            <w:pPr>
              <w:rPr>
                <w:bCs/>
                <w:szCs w:val="22"/>
              </w:rPr>
            </w:pPr>
          </w:p>
          <w:p w14:paraId="676E7CA1" w14:textId="247A189F" w:rsidR="00811C55" w:rsidRDefault="00811C55" w:rsidP="00646F50">
            <w:pPr>
              <w:rPr>
                <w:bCs/>
                <w:szCs w:val="22"/>
              </w:rPr>
            </w:pPr>
            <w:r w:rsidRPr="00B655EF">
              <w:rPr>
                <w:bCs/>
                <w:szCs w:val="22"/>
              </w:rPr>
              <w:t xml:space="preserve">Regarding inductions, </w:t>
            </w:r>
            <w:r w:rsidRPr="005E6976">
              <w:rPr>
                <w:bCs/>
                <w:szCs w:val="22"/>
              </w:rPr>
              <w:t>C</w:t>
            </w:r>
            <w:r w:rsidRPr="00B655EF">
              <w:rPr>
                <w:bCs/>
                <w:szCs w:val="22"/>
              </w:rPr>
              <w:t xml:space="preserve"> Pithie advised that 50 sessions had been completed over two weeks, reaching 1,125 students through a split-team approach. He noted the positive impact on student awareness and connection. Feedback collected included </w:t>
            </w:r>
            <w:r w:rsidR="009D7407">
              <w:rPr>
                <w:bCs/>
                <w:szCs w:val="22"/>
              </w:rPr>
              <w:t>new ideas and interests to support engagement</w:t>
            </w:r>
            <w:r w:rsidRPr="00B655EF">
              <w:rPr>
                <w:bCs/>
                <w:szCs w:val="22"/>
              </w:rPr>
              <w:t xml:space="preserve">. </w:t>
            </w:r>
          </w:p>
          <w:p w14:paraId="53AE967D" w14:textId="77777777" w:rsidR="00D842EB" w:rsidRPr="005E6976" w:rsidRDefault="00D842EB" w:rsidP="00646F50">
            <w:pPr>
              <w:rPr>
                <w:bCs/>
                <w:szCs w:val="22"/>
              </w:rPr>
            </w:pPr>
          </w:p>
          <w:p w14:paraId="734BA029" w14:textId="4955C831" w:rsidR="00811C55" w:rsidRDefault="00811C55" w:rsidP="00646F50">
            <w:pPr>
              <w:rPr>
                <w:bCs/>
                <w:szCs w:val="22"/>
              </w:rPr>
            </w:pPr>
            <w:r w:rsidRPr="00F112B6">
              <w:rPr>
                <w:bCs/>
                <w:szCs w:val="22"/>
              </w:rPr>
              <w:t>C Pithie</w:t>
            </w:r>
            <w:r w:rsidRPr="00B655EF">
              <w:rPr>
                <w:bCs/>
                <w:szCs w:val="22"/>
              </w:rPr>
              <w:t xml:space="preserve"> </w:t>
            </w:r>
            <w:r w:rsidR="00517A54">
              <w:rPr>
                <w:bCs/>
                <w:szCs w:val="22"/>
              </w:rPr>
              <w:t xml:space="preserve">stated that the </w:t>
            </w:r>
            <w:r w:rsidRPr="00B655EF">
              <w:rPr>
                <w:bCs/>
                <w:szCs w:val="22"/>
              </w:rPr>
              <w:t>revised approach encouraged students to engage in conversation. Overall, feedback indicated high levels of positive engagement and activity, demonstrating that the change in approach had made a significant difference, with hopes that participation numbers would be maintained.</w:t>
            </w:r>
          </w:p>
          <w:p w14:paraId="2A11BDD1" w14:textId="77777777" w:rsidR="00D842EB" w:rsidRPr="00B655EF" w:rsidRDefault="00D842EB" w:rsidP="00646F50">
            <w:pPr>
              <w:rPr>
                <w:bCs/>
                <w:szCs w:val="22"/>
              </w:rPr>
            </w:pPr>
          </w:p>
          <w:p w14:paraId="2BC937FB" w14:textId="77777777" w:rsidR="00811C55" w:rsidRDefault="00811C55" w:rsidP="00646F50">
            <w:pPr>
              <w:rPr>
                <w:bCs/>
                <w:szCs w:val="22"/>
              </w:rPr>
            </w:pPr>
            <w:r w:rsidRPr="00F112B6">
              <w:rPr>
                <w:bCs/>
                <w:szCs w:val="22"/>
              </w:rPr>
              <w:t xml:space="preserve">L </w:t>
            </w:r>
            <w:r w:rsidRPr="00B655EF">
              <w:rPr>
                <w:bCs/>
                <w:szCs w:val="22"/>
              </w:rPr>
              <w:t xml:space="preserve">O’Donnell thanked </w:t>
            </w:r>
            <w:r w:rsidRPr="00F112B6">
              <w:rPr>
                <w:bCs/>
                <w:szCs w:val="22"/>
              </w:rPr>
              <w:t>C</w:t>
            </w:r>
            <w:r w:rsidRPr="00B655EF">
              <w:rPr>
                <w:bCs/>
                <w:szCs w:val="22"/>
              </w:rPr>
              <w:t xml:space="preserve"> Pithie and </w:t>
            </w:r>
            <w:r w:rsidRPr="00F112B6">
              <w:rPr>
                <w:bCs/>
                <w:szCs w:val="22"/>
              </w:rPr>
              <w:t>A</w:t>
            </w:r>
            <w:r w:rsidRPr="00B655EF">
              <w:rPr>
                <w:bCs/>
                <w:szCs w:val="22"/>
              </w:rPr>
              <w:t xml:space="preserve"> Lawrence for their efforts, noting it was a great start</w:t>
            </w:r>
            <w:r w:rsidR="00855647">
              <w:rPr>
                <w:bCs/>
                <w:szCs w:val="22"/>
              </w:rPr>
              <w:t xml:space="preserve"> to the year</w:t>
            </w:r>
            <w:r w:rsidRPr="00B655EF">
              <w:rPr>
                <w:bCs/>
                <w:szCs w:val="22"/>
              </w:rPr>
              <w:t>.</w:t>
            </w:r>
          </w:p>
          <w:p w14:paraId="10124B55" w14:textId="04D7FB0D" w:rsidR="00D842EB" w:rsidRDefault="00D842EB" w:rsidP="00646F50">
            <w:pPr>
              <w:rPr>
                <w:b/>
                <w:szCs w:val="22"/>
              </w:rPr>
            </w:pPr>
          </w:p>
        </w:tc>
      </w:tr>
      <w:tr w:rsidR="00811C55" w:rsidRPr="003974E8" w14:paraId="40B115B3" w14:textId="77777777" w:rsidTr="00811C55">
        <w:tc>
          <w:tcPr>
            <w:tcW w:w="568" w:type="dxa"/>
          </w:tcPr>
          <w:p w14:paraId="0D1010A8"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0F9A0DC7" w14:textId="661D83E0" w:rsidR="00811C55" w:rsidRDefault="00811C55" w:rsidP="00646F50">
            <w:pPr>
              <w:rPr>
                <w:b/>
              </w:rPr>
            </w:pPr>
            <w:r w:rsidRPr="557BD6EC">
              <w:rPr>
                <w:b/>
              </w:rPr>
              <w:t xml:space="preserve">PRINCIPAL’S REPORT          </w:t>
            </w:r>
          </w:p>
          <w:p w14:paraId="6F25FE8F" w14:textId="77777777" w:rsidR="00D842EB" w:rsidRDefault="00D842EB" w:rsidP="00646F50">
            <w:pPr>
              <w:rPr>
                <w:bCs/>
              </w:rPr>
            </w:pPr>
          </w:p>
          <w:p w14:paraId="22B7B645" w14:textId="61756163" w:rsidR="00811C55" w:rsidRDefault="00855647" w:rsidP="00646F50">
            <w:pPr>
              <w:rPr>
                <w:bCs/>
              </w:rPr>
            </w:pPr>
            <w:r>
              <w:rPr>
                <w:bCs/>
              </w:rPr>
              <w:t xml:space="preserve">S Hewitt </w:t>
            </w:r>
            <w:r w:rsidR="00FA5A73">
              <w:rPr>
                <w:bCs/>
              </w:rPr>
              <w:t xml:space="preserve">introduced the report for noting. </w:t>
            </w:r>
            <w:r w:rsidR="00811C55" w:rsidRPr="005A0FFA">
              <w:rPr>
                <w:bCs/>
              </w:rPr>
              <w:t>J Grace highlighted the importance of reinvesting and improving the economy.</w:t>
            </w:r>
          </w:p>
          <w:p w14:paraId="655198C7" w14:textId="77777777" w:rsidR="00D842EB" w:rsidRPr="005A0FFA" w:rsidRDefault="00D842EB" w:rsidP="00646F50">
            <w:pPr>
              <w:rPr>
                <w:bCs/>
              </w:rPr>
            </w:pPr>
          </w:p>
          <w:p w14:paraId="027F5139" w14:textId="77777777" w:rsidR="00D842EB" w:rsidRDefault="00811C55" w:rsidP="00646F50">
            <w:pPr>
              <w:rPr>
                <w:bCs/>
              </w:rPr>
            </w:pPr>
            <w:r w:rsidRPr="005A0FFA">
              <w:rPr>
                <w:bCs/>
              </w:rPr>
              <w:t>B Lawrie observed that attainment rates remain strong but are showing a downward trend.</w:t>
            </w:r>
          </w:p>
          <w:p w14:paraId="1A2AAC8A" w14:textId="065EEB8E" w:rsidR="00811C55" w:rsidRPr="005A0FFA" w:rsidRDefault="00811C55" w:rsidP="00646F50">
            <w:pPr>
              <w:rPr>
                <w:bCs/>
              </w:rPr>
            </w:pPr>
            <w:r w:rsidRPr="005A0FFA">
              <w:rPr>
                <w:bCs/>
              </w:rPr>
              <w:t xml:space="preserve">             </w:t>
            </w:r>
          </w:p>
          <w:p w14:paraId="56E9EA13" w14:textId="77777777" w:rsidR="00646F50" w:rsidRPr="00646F50" w:rsidRDefault="00FA5A73" w:rsidP="00646F50">
            <w:pPr>
              <w:rPr>
                <w:bCs/>
              </w:rPr>
            </w:pPr>
            <w:r w:rsidRPr="00646F50">
              <w:rPr>
                <w:bCs/>
              </w:rPr>
              <w:t>The report and on-going success</w:t>
            </w:r>
            <w:r w:rsidR="00646F50" w:rsidRPr="00646F50">
              <w:rPr>
                <w:bCs/>
              </w:rPr>
              <w:t xml:space="preserve"> from students and staff was welcomed.</w:t>
            </w:r>
          </w:p>
          <w:p w14:paraId="3C5BC50A" w14:textId="6EEB60B5" w:rsidR="00811C55" w:rsidRPr="006F736B" w:rsidRDefault="00811C55" w:rsidP="00646F50">
            <w:pPr>
              <w:rPr>
                <w:b/>
              </w:rPr>
            </w:pPr>
            <w:r w:rsidRPr="557BD6EC">
              <w:rPr>
                <w:b/>
              </w:rPr>
              <w:t xml:space="preserve">                                              </w:t>
            </w:r>
          </w:p>
        </w:tc>
      </w:tr>
      <w:tr w:rsidR="00811C55" w:rsidRPr="003974E8" w14:paraId="6F426AC9" w14:textId="77777777" w:rsidTr="00811C55">
        <w:tc>
          <w:tcPr>
            <w:tcW w:w="568" w:type="dxa"/>
          </w:tcPr>
          <w:p w14:paraId="649A39EF"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2678F88D" w14:textId="320E490B" w:rsidR="00811C55" w:rsidRDefault="00811C55" w:rsidP="00646F50">
            <w:pPr>
              <w:rPr>
                <w:b/>
                <w:szCs w:val="22"/>
              </w:rPr>
            </w:pPr>
            <w:r>
              <w:rPr>
                <w:b/>
                <w:szCs w:val="22"/>
              </w:rPr>
              <w:t>NATIONAL BARGAINING UPDATE</w:t>
            </w:r>
          </w:p>
          <w:p w14:paraId="7ECB4456" w14:textId="77777777" w:rsidR="00D842EB" w:rsidRDefault="00D842EB" w:rsidP="00646F50">
            <w:pPr>
              <w:rPr>
                <w:bCs/>
                <w:szCs w:val="22"/>
              </w:rPr>
            </w:pPr>
          </w:p>
          <w:p w14:paraId="5C6B54BC" w14:textId="695BB8BE" w:rsidR="00811C55" w:rsidRDefault="00811C55" w:rsidP="00646F50">
            <w:pPr>
              <w:rPr>
                <w:bCs/>
                <w:szCs w:val="22"/>
              </w:rPr>
            </w:pPr>
            <w:r w:rsidRPr="00714A34">
              <w:rPr>
                <w:bCs/>
                <w:szCs w:val="22"/>
              </w:rPr>
              <w:t>S Taylor presented this item, noting that there had been good discussions through the People, Culture and Wellbeing Committee.</w:t>
            </w:r>
          </w:p>
          <w:p w14:paraId="26D87898" w14:textId="77777777" w:rsidR="00D842EB" w:rsidRPr="00714A34" w:rsidRDefault="00D842EB" w:rsidP="00646F50">
            <w:pPr>
              <w:rPr>
                <w:bCs/>
                <w:szCs w:val="22"/>
              </w:rPr>
            </w:pPr>
          </w:p>
          <w:p w14:paraId="08FD6D3E" w14:textId="77777777" w:rsidR="00B07CE8" w:rsidRDefault="00B07CE8" w:rsidP="00646F50">
            <w:pPr>
              <w:rPr>
                <w:bCs/>
                <w:szCs w:val="22"/>
              </w:rPr>
            </w:pPr>
          </w:p>
          <w:p w14:paraId="3270BE51" w14:textId="77777777" w:rsidR="00B07CE8" w:rsidRDefault="00B07CE8" w:rsidP="00646F50">
            <w:pPr>
              <w:rPr>
                <w:bCs/>
                <w:szCs w:val="22"/>
              </w:rPr>
            </w:pPr>
          </w:p>
          <w:p w14:paraId="3C782BBD" w14:textId="7D549F50" w:rsidR="003A3B41" w:rsidRDefault="00811C55" w:rsidP="00646F50">
            <w:pPr>
              <w:rPr>
                <w:bCs/>
                <w:szCs w:val="22"/>
              </w:rPr>
            </w:pPr>
            <w:r w:rsidRPr="00714A34">
              <w:rPr>
                <w:bCs/>
                <w:szCs w:val="22"/>
              </w:rPr>
              <w:lastRenderedPageBreak/>
              <w:t xml:space="preserve">B Lawrie raised questions regarding job evaluation, noting that the number of roles under review had increased from 150 to 500, and expressed concern about the source of funding and its potential impact. S Taylor explained that the increase in numbers reflects more roles </w:t>
            </w:r>
            <w:r w:rsidR="00715CAE">
              <w:rPr>
                <w:bCs/>
                <w:szCs w:val="22"/>
              </w:rPr>
              <w:t xml:space="preserve">rather than </w:t>
            </w:r>
            <w:r w:rsidRPr="00714A34">
              <w:rPr>
                <w:bCs/>
                <w:szCs w:val="22"/>
              </w:rPr>
              <w:t>staff</w:t>
            </w:r>
            <w:r w:rsidR="00DC4C24">
              <w:rPr>
                <w:bCs/>
                <w:szCs w:val="22"/>
              </w:rPr>
              <w:t xml:space="preserve"> and that this would not necessarily increase the implementation costs but was a challenge in terms of project planning and funding.</w:t>
            </w:r>
            <w:r w:rsidR="003A3B41">
              <w:rPr>
                <w:bCs/>
                <w:szCs w:val="22"/>
              </w:rPr>
              <w:t xml:space="preserve">  </w:t>
            </w:r>
            <w:r w:rsidRPr="00714A34">
              <w:rPr>
                <w:bCs/>
                <w:szCs w:val="22"/>
              </w:rPr>
              <w:t xml:space="preserve">Assurance had been provided by the government that funding would be available when required. </w:t>
            </w:r>
          </w:p>
          <w:p w14:paraId="5D9BB4D3" w14:textId="77777777" w:rsidR="003A3B41" w:rsidRDefault="003A3B41" w:rsidP="00646F50">
            <w:pPr>
              <w:rPr>
                <w:bCs/>
                <w:szCs w:val="22"/>
              </w:rPr>
            </w:pPr>
          </w:p>
          <w:p w14:paraId="528FF97E" w14:textId="6932D17E" w:rsidR="00811C55" w:rsidRDefault="00811C55" w:rsidP="00646F50">
            <w:pPr>
              <w:rPr>
                <w:bCs/>
                <w:szCs w:val="22"/>
              </w:rPr>
            </w:pPr>
            <w:r w:rsidRPr="00714A34">
              <w:rPr>
                <w:bCs/>
                <w:szCs w:val="22"/>
              </w:rPr>
              <w:t>A revised project</w:t>
            </w:r>
            <w:r w:rsidRPr="008F027A">
              <w:rPr>
                <w:b/>
                <w:szCs w:val="22"/>
              </w:rPr>
              <w:t xml:space="preserve"> </w:t>
            </w:r>
            <w:r w:rsidRPr="00714A34">
              <w:rPr>
                <w:bCs/>
                <w:szCs w:val="22"/>
              </w:rPr>
              <w:t>plan had been submitted to the Scottish Funding Council, but the timeline was likely to move, as the government requested that the funding bid be completed to Green Book standard, which may result in delays.</w:t>
            </w:r>
          </w:p>
          <w:p w14:paraId="03FC4CDC" w14:textId="77777777" w:rsidR="0013575E" w:rsidRDefault="0013575E" w:rsidP="00646F50">
            <w:pPr>
              <w:rPr>
                <w:b/>
                <w:szCs w:val="22"/>
              </w:rPr>
            </w:pPr>
          </w:p>
          <w:p w14:paraId="125AD10B" w14:textId="4CBBD9CA" w:rsidR="00811C55" w:rsidRPr="00714A34" w:rsidRDefault="00811C55" w:rsidP="00646F50">
            <w:pPr>
              <w:rPr>
                <w:bCs/>
                <w:szCs w:val="22"/>
              </w:rPr>
            </w:pPr>
            <w:r w:rsidRPr="00714A34">
              <w:rPr>
                <w:bCs/>
                <w:szCs w:val="22"/>
              </w:rPr>
              <w:t xml:space="preserve">The </w:t>
            </w:r>
            <w:r w:rsidR="0013575E">
              <w:rPr>
                <w:bCs/>
                <w:szCs w:val="22"/>
              </w:rPr>
              <w:t>update</w:t>
            </w:r>
            <w:r w:rsidRPr="00714A34">
              <w:rPr>
                <w:bCs/>
                <w:szCs w:val="22"/>
              </w:rPr>
              <w:t xml:space="preserve"> was welcomed. </w:t>
            </w:r>
          </w:p>
          <w:p w14:paraId="0BAD71B9" w14:textId="77777777" w:rsidR="00811C55" w:rsidRPr="00E119EF" w:rsidRDefault="00811C55" w:rsidP="00646F50">
            <w:pPr>
              <w:rPr>
                <w:b/>
                <w:szCs w:val="22"/>
              </w:rPr>
            </w:pPr>
          </w:p>
        </w:tc>
      </w:tr>
      <w:tr w:rsidR="00811C55" w:rsidRPr="003974E8" w14:paraId="10DC1476" w14:textId="77777777" w:rsidTr="00811C55">
        <w:trPr>
          <w:trHeight w:val="1312"/>
        </w:trPr>
        <w:tc>
          <w:tcPr>
            <w:tcW w:w="568" w:type="dxa"/>
          </w:tcPr>
          <w:p w14:paraId="58F89C18"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54892839" w14:textId="77777777" w:rsidR="00811C55" w:rsidRDefault="00811C55" w:rsidP="00646F50">
            <w:pPr>
              <w:rPr>
                <w:b/>
                <w:szCs w:val="22"/>
              </w:rPr>
            </w:pPr>
            <w:r w:rsidRPr="00A84DA0">
              <w:rPr>
                <w:b/>
                <w:szCs w:val="22"/>
              </w:rPr>
              <w:t>GOVERNANCE ITEMS</w:t>
            </w:r>
          </w:p>
          <w:p w14:paraId="21986C61" w14:textId="77777777" w:rsidR="00811C55" w:rsidRPr="008F791D" w:rsidRDefault="00811C55" w:rsidP="00646F50">
            <w:pPr>
              <w:rPr>
                <w:b/>
                <w:szCs w:val="22"/>
              </w:rPr>
            </w:pPr>
          </w:p>
          <w:p w14:paraId="2CD8F4F1" w14:textId="77777777" w:rsidR="00811C55" w:rsidRPr="00B716F7" w:rsidRDefault="00811C55" w:rsidP="00646F50">
            <w:pPr>
              <w:pStyle w:val="ListParagraph"/>
              <w:numPr>
                <w:ilvl w:val="1"/>
                <w:numId w:val="1"/>
              </w:numPr>
              <w:ind w:left="357" w:hanging="357"/>
              <w:contextualSpacing w:val="0"/>
              <w:rPr>
                <w:b/>
                <w:bCs/>
                <w:szCs w:val="22"/>
              </w:rPr>
            </w:pPr>
            <w:r w:rsidRPr="00B716F7">
              <w:rPr>
                <w:b/>
                <w:bCs/>
                <w:szCs w:val="22"/>
              </w:rPr>
              <w:t>Membership Update</w:t>
            </w:r>
          </w:p>
          <w:p w14:paraId="55889BB2" w14:textId="77777777" w:rsidR="00811C55" w:rsidRDefault="00811C55" w:rsidP="00646F50">
            <w:pPr>
              <w:rPr>
                <w:sz w:val="20"/>
              </w:rPr>
            </w:pPr>
          </w:p>
          <w:p w14:paraId="1D44BE9F" w14:textId="376109ED" w:rsidR="00811C55" w:rsidRDefault="00811C55" w:rsidP="00646F50">
            <w:pPr>
              <w:rPr>
                <w:szCs w:val="22"/>
              </w:rPr>
            </w:pPr>
            <w:r w:rsidRPr="00C832C3">
              <w:rPr>
                <w:szCs w:val="22"/>
              </w:rPr>
              <w:t xml:space="preserve">S Taylor informed the Board that J Buchanan had stood down from the Board and sought approval to proceed with the search for a replacement. The Board also considered the appointment of A Lawrence as a student </w:t>
            </w:r>
            <w:r w:rsidR="00B02181">
              <w:rPr>
                <w:szCs w:val="22"/>
              </w:rPr>
              <w:t>member</w:t>
            </w:r>
            <w:r w:rsidRPr="00C832C3">
              <w:rPr>
                <w:szCs w:val="22"/>
              </w:rPr>
              <w:t xml:space="preserve">. </w:t>
            </w:r>
          </w:p>
          <w:p w14:paraId="613C87FA" w14:textId="77777777" w:rsidR="00811C55" w:rsidRDefault="00811C55" w:rsidP="00646F50">
            <w:pPr>
              <w:rPr>
                <w:szCs w:val="22"/>
              </w:rPr>
            </w:pPr>
          </w:p>
          <w:p w14:paraId="3B92189A" w14:textId="3C290DFA" w:rsidR="00811C55" w:rsidRDefault="00811C55" w:rsidP="00646F50">
            <w:pPr>
              <w:rPr>
                <w:szCs w:val="22"/>
              </w:rPr>
            </w:pPr>
            <w:r w:rsidRPr="00C832C3">
              <w:rPr>
                <w:szCs w:val="22"/>
              </w:rPr>
              <w:t>Both matters were approved</w:t>
            </w:r>
            <w:r w:rsidR="00B02181">
              <w:rPr>
                <w:szCs w:val="22"/>
              </w:rPr>
              <w:t>.</w:t>
            </w:r>
          </w:p>
          <w:p w14:paraId="37332069" w14:textId="77777777" w:rsidR="00811C55" w:rsidRPr="00C832C3" w:rsidRDefault="00811C55" w:rsidP="00646F50">
            <w:pPr>
              <w:rPr>
                <w:szCs w:val="22"/>
              </w:rPr>
            </w:pPr>
          </w:p>
          <w:p w14:paraId="52AB2608" w14:textId="77777777" w:rsidR="00811C55" w:rsidRPr="002A5664" w:rsidRDefault="00811C55" w:rsidP="00646F50">
            <w:pPr>
              <w:rPr>
                <w:sz w:val="20"/>
              </w:rPr>
            </w:pPr>
          </w:p>
          <w:p w14:paraId="0348E6E7" w14:textId="13CD6E00" w:rsidR="00811C55" w:rsidRPr="00FC1A4B" w:rsidRDefault="00811C55" w:rsidP="00646F50">
            <w:pPr>
              <w:pStyle w:val="ListParagraph"/>
              <w:numPr>
                <w:ilvl w:val="1"/>
                <w:numId w:val="1"/>
              </w:numPr>
              <w:ind w:left="357" w:hanging="357"/>
              <w:contextualSpacing w:val="0"/>
              <w:rPr>
                <w:b/>
                <w:bCs/>
                <w:szCs w:val="22"/>
              </w:rPr>
            </w:pPr>
            <w:r w:rsidRPr="00230799">
              <w:rPr>
                <w:b/>
                <w:bCs/>
                <w:szCs w:val="22"/>
              </w:rPr>
              <w:t>Financial Governance Reflection</w:t>
            </w:r>
          </w:p>
          <w:p w14:paraId="30585EA1" w14:textId="77777777" w:rsidR="00B02181" w:rsidRDefault="00B02181" w:rsidP="00646F50">
            <w:pPr>
              <w:pStyle w:val="TableParagraph"/>
              <w:spacing w:before="0"/>
              <w:rPr>
                <w:bCs/>
              </w:rPr>
            </w:pPr>
          </w:p>
          <w:p w14:paraId="183A0EF0" w14:textId="0E09FDC0" w:rsidR="00811C55" w:rsidRDefault="00811C55" w:rsidP="00646F50">
            <w:pPr>
              <w:pStyle w:val="TableParagraph"/>
              <w:spacing w:before="0"/>
              <w:rPr>
                <w:bCs/>
              </w:rPr>
            </w:pPr>
            <w:r w:rsidRPr="00DC2844">
              <w:rPr>
                <w:bCs/>
              </w:rPr>
              <w:t>S Taylor noted t</w:t>
            </w:r>
            <w:r>
              <w:rPr>
                <w:bCs/>
              </w:rPr>
              <w:t xml:space="preserve">he report. </w:t>
            </w:r>
          </w:p>
          <w:p w14:paraId="49D0A3A9" w14:textId="77777777" w:rsidR="00B02181" w:rsidRDefault="00B02181" w:rsidP="00646F50">
            <w:pPr>
              <w:pStyle w:val="TableParagraph"/>
              <w:spacing w:before="0"/>
              <w:rPr>
                <w:bCs/>
              </w:rPr>
            </w:pPr>
          </w:p>
          <w:p w14:paraId="7C22DA08" w14:textId="0E132583" w:rsidR="00811C55" w:rsidRDefault="00811C55" w:rsidP="00646F50">
            <w:pPr>
              <w:pStyle w:val="TableParagraph"/>
              <w:spacing w:before="0"/>
              <w:rPr>
                <w:bCs/>
              </w:rPr>
            </w:pPr>
            <w:r>
              <w:rPr>
                <w:bCs/>
              </w:rPr>
              <w:t>He stated t</w:t>
            </w:r>
            <w:r w:rsidRPr="00DC2844">
              <w:rPr>
                <w:bCs/>
              </w:rPr>
              <w:t>hat t</w:t>
            </w:r>
            <w:r w:rsidRPr="00D166D0">
              <w:rPr>
                <w:bCs/>
              </w:rPr>
              <w:t>he report included a lesson</w:t>
            </w:r>
            <w:r>
              <w:rPr>
                <w:bCs/>
              </w:rPr>
              <w:t>’</w:t>
            </w:r>
            <w:r w:rsidRPr="00D166D0">
              <w:rPr>
                <w:bCs/>
              </w:rPr>
              <w:t xml:space="preserve">s learnt checklist </w:t>
            </w:r>
            <w:r w:rsidR="00231B7D">
              <w:rPr>
                <w:bCs/>
              </w:rPr>
              <w:t xml:space="preserve">created within the Gillies report </w:t>
            </w:r>
            <w:r w:rsidRPr="00D166D0">
              <w:rPr>
                <w:bCs/>
              </w:rPr>
              <w:t>and identified College practices or areas for development against this framework. Overall,</w:t>
            </w:r>
            <w:r w:rsidRPr="00DC2844">
              <w:rPr>
                <w:bCs/>
              </w:rPr>
              <w:t xml:space="preserve"> S</w:t>
            </w:r>
            <w:r w:rsidR="00231B7D">
              <w:rPr>
                <w:bCs/>
              </w:rPr>
              <w:t> </w:t>
            </w:r>
            <w:r w:rsidRPr="00DC2844">
              <w:rPr>
                <w:bCs/>
              </w:rPr>
              <w:t>Taylor highlighted that</w:t>
            </w:r>
            <w:r w:rsidRPr="00D166D0">
              <w:rPr>
                <w:bCs/>
              </w:rPr>
              <w:t xml:space="preserve"> the College is in a strong position, with </w:t>
            </w:r>
            <w:r w:rsidR="00231B7D">
              <w:rPr>
                <w:bCs/>
              </w:rPr>
              <w:t xml:space="preserve">almost all elements of the checklist </w:t>
            </w:r>
            <w:r w:rsidRPr="00D166D0">
              <w:rPr>
                <w:bCs/>
              </w:rPr>
              <w:t>embedded. Areas identified for further attention included management of critical incidents, with the recommendation to exclude the Chair of the A</w:t>
            </w:r>
            <w:r w:rsidRPr="00DC2844">
              <w:rPr>
                <w:bCs/>
              </w:rPr>
              <w:t>udit</w:t>
            </w:r>
            <w:r w:rsidRPr="00D166D0">
              <w:rPr>
                <w:bCs/>
              </w:rPr>
              <w:t xml:space="preserve"> and R</w:t>
            </w:r>
            <w:r w:rsidRPr="00DC2844">
              <w:rPr>
                <w:bCs/>
              </w:rPr>
              <w:t xml:space="preserve">isk </w:t>
            </w:r>
            <w:r w:rsidRPr="00D166D0">
              <w:rPr>
                <w:bCs/>
              </w:rPr>
              <w:t>Committee to maintain independence and separation for review purposes.</w:t>
            </w:r>
          </w:p>
          <w:p w14:paraId="75EB8E9A" w14:textId="77777777" w:rsidR="00B721CB" w:rsidRPr="00D166D0" w:rsidRDefault="00B721CB" w:rsidP="00646F50">
            <w:pPr>
              <w:pStyle w:val="TableParagraph"/>
              <w:spacing w:before="0"/>
              <w:rPr>
                <w:bCs/>
              </w:rPr>
            </w:pPr>
          </w:p>
          <w:p w14:paraId="26FB4EA0" w14:textId="61F51E39" w:rsidR="00811C55" w:rsidRPr="00487CEA" w:rsidRDefault="00B721CB" w:rsidP="00646F50">
            <w:pPr>
              <w:rPr>
                <w:szCs w:val="22"/>
              </w:rPr>
            </w:pPr>
            <w:r>
              <w:rPr>
                <w:szCs w:val="22"/>
              </w:rPr>
              <w:t xml:space="preserve">The Scottish Funding Council had recently published its own ask in respect of </w:t>
            </w:r>
            <w:r w:rsidR="000A7509">
              <w:rPr>
                <w:szCs w:val="22"/>
              </w:rPr>
              <w:t>governance</w:t>
            </w:r>
            <w:r>
              <w:rPr>
                <w:szCs w:val="22"/>
              </w:rPr>
              <w:t xml:space="preserve"> arising from</w:t>
            </w:r>
            <w:r w:rsidR="000A7509">
              <w:rPr>
                <w:szCs w:val="22"/>
              </w:rPr>
              <w:t xml:space="preserve"> </w:t>
            </w:r>
            <w:r w:rsidR="006822F0">
              <w:rPr>
                <w:szCs w:val="22"/>
              </w:rPr>
              <w:t xml:space="preserve">the work undertaken by Professor Gillies and that this would be included in a further review of the </w:t>
            </w:r>
            <w:r w:rsidR="00955ACF">
              <w:rPr>
                <w:szCs w:val="22"/>
              </w:rPr>
              <w:t xml:space="preserve">document. </w:t>
            </w:r>
            <w:r w:rsidR="00811C55" w:rsidRPr="00487CEA">
              <w:rPr>
                <w:szCs w:val="22"/>
              </w:rPr>
              <w:t xml:space="preserve"> </w:t>
            </w:r>
          </w:p>
          <w:p w14:paraId="3F333ACF" w14:textId="77777777" w:rsidR="00811C55" w:rsidRPr="00487CEA" w:rsidRDefault="00811C55" w:rsidP="00646F50">
            <w:pPr>
              <w:rPr>
                <w:szCs w:val="22"/>
              </w:rPr>
            </w:pPr>
          </w:p>
          <w:p w14:paraId="4995D294" w14:textId="4BB07E85" w:rsidR="00811C55" w:rsidRPr="00487CEA" w:rsidRDefault="00811C55" w:rsidP="00646F50">
            <w:pPr>
              <w:rPr>
                <w:szCs w:val="22"/>
              </w:rPr>
            </w:pPr>
            <w:r w:rsidRPr="00487CEA">
              <w:rPr>
                <w:szCs w:val="22"/>
              </w:rPr>
              <w:t>L O’Donnell thanked S Taylor for the update.</w:t>
            </w:r>
          </w:p>
          <w:p w14:paraId="54FAC3F3" w14:textId="77777777" w:rsidR="00811C55" w:rsidRDefault="00811C55" w:rsidP="00646F50">
            <w:pPr>
              <w:rPr>
                <w:sz w:val="20"/>
              </w:rPr>
            </w:pPr>
          </w:p>
          <w:p w14:paraId="2789A144" w14:textId="77777777" w:rsidR="00811C55" w:rsidRPr="002A5664" w:rsidRDefault="00811C55" w:rsidP="00646F50">
            <w:pPr>
              <w:rPr>
                <w:sz w:val="20"/>
              </w:rPr>
            </w:pPr>
          </w:p>
          <w:p w14:paraId="2A0BF68D" w14:textId="77777777" w:rsidR="00811C55" w:rsidRPr="00D94BD5" w:rsidRDefault="00811C55" w:rsidP="00646F50">
            <w:pPr>
              <w:pStyle w:val="ListParagraph"/>
              <w:numPr>
                <w:ilvl w:val="1"/>
                <w:numId w:val="1"/>
              </w:numPr>
              <w:ind w:left="357" w:hanging="357"/>
              <w:contextualSpacing w:val="0"/>
              <w:rPr>
                <w:b/>
                <w:bCs/>
                <w:szCs w:val="22"/>
              </w:rPr>
            </w:pPr>
            <w:r w:rsidRPr="00D94BD5">
              <w:rPr>
                <w:b/>
                <w:bCs/>
                <w:szCs w:val="22"/>
              </w:rPr>
              <w:t>Strategic Risk Register</w:t>
            </w:r>
          </w:p>
          <w:p w14:paraId="24A68BA4" w14:textId="77777777" w:rsidR="00811C55" w:rsidRPr="004175ED" w:rsidRDefault="00811C55" w:rsidP="00646F50">
            <w:pPr>
              <w:rPr>
                <w:szCs w:val="22"/>
              </w:rPr>
            </w:pPr>
          </w:p>
          <w:p w14:paraId="3A55462D" w14:textId="094C47D8" w:rsidR="00811C55" w:rsidRPr="004175ED" w:rsidRDefault="00811C55" w:rsidP="00646F50">
            <w:pPr>
              <w:rPr>
                <w:szCs w:val="22"/>
              </w:rPr>
            </w:pPr>
            <w:r w:rsidRPr="004175ED">
              <w:rPr>
                <w:szCs w:val="22"/>
              </w:rPr>
              <w:t>S Taylor stated that the Strategic Risk Register is reviewed at each Audit &amp; Risk (A&amp;R) Committee, noting that updates are provided to the Board twice a year. Clarification was made regarding committee responsibilities, with references to the UK Government included. The</w:t>
            </w:r>
            <w:r w:rsidR="000671D9">
              <w:rPr>
                <w:szCs w:val="22"/>
              </w:rPr>
              <w:t xml:space="preserve"> Register was approved</w:t>
            </w:r>
            <w:r w:rsidRPr="004175ED">
              <w:rPr>
                <w:szCs w:val="22"/>
              </w:rPr>
              <w:t>.</w:t>
            </w:r>
          </w:p>
          <w:p w14:paraId="5230F5F7" w14:textId="77777777" w:rsidR="00811C55" w:rsidRPr="004175ED" w:rsidRDefault="00811C55" w:rsidP="00646F50">
            <w:pPr>
              <w:rPr>
                <w:szCs w:val="22"/>
              </w:rPr>
            </w:pPr>
          </w:p>
          <w:p w14:paraId="6C2A7C49" w14:textId="754B30BF" w:rsidR="00811C55" w:rsidRDefault="00811C55" w:rsidP="00646F50">
            <w:pPr>
              <w:rPr>
                <w:sz w:val="20"/>
              </w:rPr>
            </w:pPr>
            <w:r w:rsidRPr="004175ED">
              <w:rPr>
                <w:szCs w:val="22"/>
              </w:rPr>
              <w:t>B Lawrie highlighted a typographical error which was noted on section 3.6 of the Risk Register.</w:t>
            </w:r>
            <w:r>
              <w:rPr>
                <w:sz w:val="20"/>
              </w:rPr>
              <w:t xml:space="preserve"> </w:t>
            </w:r>
            <w:r w:rsidRPr="004175ED">
              <w:rPr>
                <w:b/>
                <w:bCs/>
                <w:szCs w:val="22"/>
              </w:rPr>
              <w:t>S Taylor to progress.</w:t>
            </w:r>
          </w:p>
          <w:p w14:paraId="2EC7F624" w14:textId="77777777" w:rsidR="00811C55" w:rsidRDefault="00811C55" w:rsidP="00646F50">
            <w:pPr>
              <w:rPr>
                <w:sz w:val="20"/>
              </w:rPr>
            </w:pPr>
          </w:p>
          <w:p w14:paraId="08165DEA" w14:textId="77777777" w:rsidR="00811C55" w:rsidRPr="004175ED" w:rsidRDefault="00811C55" w:rsidP="00646F50">
            <w:pPr>
              <w:rPr>
                <w:szCs w:val="22"/>
              </w:rPr>
            </w:pPr>
          </w:p>
          <w:p w14:paraId="5167E41D" w14:textId="77777777" w:rsidR="00811C55" w:rsidRPr="009128C6" w:rsidRDefault="00811C55" w:rsidP="00646F50">
            <w:pPr>
              <w:pStyle w:val="ListParagraph"/>
              <w:numPr>
                <w:ilvl w:val="1"/>
                <w:numId w:val="1"/>
              </w:numPr>
              <w:ind w:left="357" w:hanging="357"/>
              <w:contextualSpacing w:val="0"/>
              <w:rPr>
                <w:b/>
                <w:bCs/>
                <w:szCs w:val="22"/>
              </w:rPr>
            </w:pPr>
            <w:r w:rsidRPr="009128C6">
              <w:rPr>
                <w:b/>
                <w:bCs/>
                <w:szCs w:val="22"/>
              </w:rPr>
              <w:t>Board Metrics</w:t>
            </w:r>
          </w:p>
          <w:p w14:paraId="37DB6A04" w14:textId="77777777" w:rsidR="00811C55" w:rsidRPr="00803849" w:rsidRDefault="00811C55" w:rsidP="00646F50">
            <w:pPr>
              <w:rPr>
                <w:szCs w:val="22"/>
              </w:rPr>
            </w:pPr>
          </w:p>
          <w:p w14:paraId="44365631" w14:textId="68F80D21" w:rsidR="00811C55" w:rsidRDefault="00811C55" w:rsidP="00646F50">
            <w:pPr>
              <w:rPr>
                <w:szCs w:val="22"/>
              </w:rPr>
            </w:pPr>
            <w:r w:rsidRPr="00803849">
              <w:rPr>
                <w:szCs w:val="22"/>
              </w:rPr>
              <w:t xml:space="preserve">S Taylor presented the update for noting, </w:t>
            </w:r>
            <w:r w:rsidR="00955ACF">
              <w:rPr>
                <w:szCs w:val="22"/>
              </w:rPr>
              <w:t>highlighting the switch over to the revised methodology for calculating national performance indicators.</w:t>
            </w:r>
          </w:p>
          <w:p w14:paraId="27FE510C" w14:textId="5DD035F7" w:rsidR="00811C55" w:rsidRPr="00022E03" w:rsidRDefault="00811C55" w:rsidP="00646F50">
            <w:pPr>
              <w:rPr>
                <w:szCs w:val="22"/>
              </w:rPr>
            </w:pPr>
          </w:p>
        </w:tc>
      </w:tr>
      <w:tr w:rsidR="00811C55" w:rsidRPr="003974E8" w14:paraId="7A90BF44" w14:textId="77777777" w:rsidTr="00811C55">
        <w:trPr>
          <w:trHeight w:val="1056"/>
        </w:trPr>
        <w:tc>
          <w:tcPr>
            <w:tcW w:w="568" w:type="dxa"/>
          </w:tcPr>
          <w:p w14:paraId="6609BAA6"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1E4A4C98" w14:textId="77777777" w:rsidR="00811C55" w:rsidRDefault="00811C55" w:rsidP="00646F50">
            <w:pPr>
              <w:rPr>
                <w:szCs w:val="22"/>
              </w:rPr>
            </w:pPr>
            <w:r>
              <w:rPr>
                <w:b/>
                <w:szCs w:val="22"/>
              </w:rPr>
              <w:t>MINUTES OF COMMITTEE MEETINGS</w:t>
            </w:r>
            <w:r w:rsidRPr="006F736B">
              <w:rPr>
                <w:szCs w:val="22"/>
              </w:rPr>
              <w:t xml:space="preserve">  </w:t>
            </w:r>
          </w:p>
          <w:p w14:paraId="15D193C3" w14:textId="77777777" w:rsidR="00811C55" w:rsidRDefault="00811C55" w:rsidP="00646F50">
            <w:pPr>
              <w:pStyle w:val="ListParagraph"/>
              <w:contextualSpacing w:val="0"/>
              <w:rPr>
                <w:sz w:val="21"/>
                <w:szCs w:val="21"/>
              </w:rPr>
            </w:pPr>
          </w:p>
          <w:p w14:paraId="7684681E" w14:textId="3BBA7246" w:rsidR="00811C55" w:rsidRPr="00FC1A4B" w:rsidRDefault="00811C55" w:rsidP="00646F50">
            <w:pPr>
              <w:rPr>
                <w:szCs w:val="22"/>
              </w:rPr>
            </w:pPr>
            <w:r w:rsidRPr="00AF78B4">
              <w:rPr>
                <w:szCs w:val="22"/>
              </w:rPr>
              <w:t xml:space="preserve">The minutes of the </w:t>
            </w:r>
            <w:r>
              <w:rPr>
                <w:szCs w:val="22"/>
              </w:rPr>
              <w:t>C</w:t>
            </w:r>
            <w:r w:rsidRPr="00AF78B4">
              <w:rPr>
                <w:szCs w:val="22"/>
              </w:rPr>
              <w:t>ommittee meetings were noted</w:t>
            </w:r>
            <w:r>
              <w:rPr>
                <w:szCs w:val="22"/>
              </w:rPr>
              <w:t>.</w:t>
            </w:r>
          </w:p>
        </w:tc>
      </w:tr>
      <w:tr w:rsidR="00811C55" w:rsidRPr="003974E8" w14:paraId="48DB7195" w14:textId="77777777" w:rsidTr="00811C55">
        <w:tc>
          <w:tcPr>
            <w:tcW w:w="568" w:type="dxa"/>
          </w:tcPr>
          <w:p w14:paraId="1E068C0A" w14:textId="77777777" w:rsidR="00811C55" w:rsidRPr="001A0CC1" w:rsidRDefault="00811C55" w:rsidP="00646F50">
            <w:pPr>
              <w:pStyle w:val="ListParagraph"/>
              <w:numPr>
                <w:ilvl w:val="0"/>
                <w:numId w:val="1"/>
              </w:numPr>
              <w:ind w:left="0" w:firstLine="0"/>
              <w:contextualSpacing w:val="0"/>
              <w:jc w:val="center"/>
              <w:rPr>
                <w:b/>
                <w:szCs w:val="22"/>
              </w:rPr>
            </w:pPr>
          </w:p>
        </w:tc>
        <w:tc>
          <w:tcPr>
            <w:tcW w:w="9497" w:type="dxa"/>
          </w:tcPr>
          <w:p w14:paraId="7658AABA" w14:textId="00A77242" w:rsidR="00811C55" w:rsidRDefault="00811C55" w:rsidP="00646F50">
            <w:pPr>
              <w:rPr>
                <w:szCs w:val="22"/>
              </w:rPr>
            </w:pPr>
            <w:r w:rsidRPr="009D1117">
              <w:rPr>
                <w:b/>
                <w:szCs w:val="22"/>
              </w:rPr>
              <w:t>CORRESPONDENCE</w:t>
            </w:r>
            <w:r w:rsidRPr="009D1117">
              <w:rPr>
                <w:szCs w:val="22"/>
              </w:rPr>
              <w:t xml:space="preserve">        </w:t>
            </w:r>
          </w:p>
          <w:p w14:paraId="33D500C7" w14:textId="77777777" w:rsidR="00811C55" w:rsidRDefault="00811C55" w:rsidP="00646F50">
            <w:pPr>
              <w:rPr>
                <w:szCs w:val="22"/>
              </w:rPr>
            </w:pPr>
            <w:r w:rsidRPr="00CD6967">
              <w:rPr>
                <w:szCs w:val="22"/>
              </w:rPr>
              <w:t xml:space="preserve">The correspondence was noted. </w:t>
            </w:r>
          </w:p>
          <w:p w14:paraId="5A0886A9" w14:textId="77777777" w:rsidR="00C602AD" w:rsidRDefault="00C602AD" w:rsidP="00646F50">
            <w:pPr>
              <w:rPr>
                <w:szCs w:val="22"/>
              </w:rPr>
            </w:pPr>
          </w:p>
          <w:p w14:paraId="2ECC5C77" w14:textId="6BF268F6" w:rsidR="00811C55" w:rsidRDefault="00811C55" w:rsidP="00646F50">
            <w:pPr>
              <w:rPr>
                <w:szCs w:val="22"/>
              </w:rPr>
            </w:pPr>
            <w:r>
              <w:rPr>
                <w:szCs w:val="22"/>
              </w:rPr>
              <w:t>L</w:t>
            </w:r>
            <w:r w:rsidRPr="00CD6967">
              <w:rPr>
                <w:szCs w:val="22"/>
              </w:rPr>
              <w:t xml:space="preserve"> O’Donnell highlighted that a letter had been received from the Secretary of the Wheelchair Basketball Club regarding the booking of Gardyne Gym. </w:t>
            </w:r>
            <w:r>
              <w:rPr>
                <w:szCs w:val="22"/>
              </w:rPr>
              <w:t xml:space="preserve">L O’Donnell confirmed that the matter had been dealt with </w:t>
            </w:r>
            <w:r w:rsidR="00C602AD">
              <w:rPr>
                <w:szCs w:val="22"/>
              </w:rPr>
              <w:t xml:space="preserve">by </w:t>
            </w:r>
            <w:r w:rsidRPr="00CD6967">
              <w:rPr>
                <w:szCs w:val="22"/>
              </w:rPr>
              <w:t>A</w:t>
            </w:r>
            <w:r>
              <w:rPr>
                <w:szCs w:val="22"/>
              </w:rPr>
              <w:t xml:space="preserve"> </w:t>
            </w:r>
            <w:r w:rsidRPr="00CD6967">
              <w:rPr>
                <w:szCs w:val="22"/>
              </w:rPr>
              <w:t xml:space="preserve">Ross and </w:t>
            </w:r>
            <w:r w:rsidR="00E916D8">
              <w:rPr>
                <w:szCs w:val="22"/>
              </w:rPr>
              <w:t xml:space="preserve">that he would respond to the club secretary. </w:t>
            </w:r>
            <w:r>
              <w:rPr>
                <w:szCs w:val="22"/>
              </w:rPr>
              <w:t xml:space="preserve"> </w:t>
            </w:r>
            <w:r w:rsidRPr="00326906">
              <w:rPr>
                <w:b/>
                <w:bCs/>
                <w:szCs w:val="22"/>
              </w:rPr>
              <w:t>L O’Donnell to progress.</w:t>
            </w:r>
          </w:p>
          <w:p w14:paraId="2E587B58" w14:textId="77777777" w:rsidR="00C059CB" w:rsidRDefault="00C059CB" w:rsidP="00646F50">
            <w:pPr>
              <w:rPr>
                <w:szCs w:val="22"/>
              </w:rPr>
            </w:pPr>
          </w:p>
          <w:p w14:paraId="7A34F548" w14:textId="4DB1856D" w:rsidR="00811C55" w:rsidRDefault="00811C55" w:rsidP="00646F50">
            <w:pPr>
              <w:rPr>
                <w:szCs w:val="22"/>
              </w:rPr>
            </w:pPr>
            <w:r w:rsidRPr="00CD6967">
              <w:rPr>
                <w:szCs w:val="22"/>
              </w:rPr>
              <w:t>The Board noted the update.</w:t>
            </w:r>
            <w:r w:rsidRPr="009D1117">
              <w:rPr>
                <w:szCs w:val="22"/>
              </w:rPr>
              <w:t xml:space="preserve">               </w:t>
            </w:r>
          </w:p>
          <w:p w14:paraId="7C372AAE" w14:textId="32D6EC53" w:rsidR="00811C55" w:rsidRPr="006F736B" w:rsidRDefault="00811C55" w:rsidP="00646F50">
            <w:pPr>
              <w:rPr>
                <w:b/>
                <w:szCs w:val="22"/>
              </w:rPr>
            </w:pPr>
            <w:r w:rsidRPr="009D1117">
              <w:rPr>
                <w:szCs w:val="22"/>
              </w:rPr>
              <w:t xml:space="preserve">                </w:t>
            </w:r>
          </w:p>
        </w:tc>
      </w:tr>
      <w:tr w:rsidR="002F156D" w:rsidRPr="003974E8" w14:paraId="42922326" w14:textId="77777777" w:rsidTr="00811C55">
        <w:trPr>
          <w:trHeight w:val="688"/>
        </w:trPr>
        <w:tc>
          <w:tcPr>
            <w:tcW w:w="568" w:type="dxa"/>
          </w:tcPr>
          <w:p w14:paraId="219631FA" w14:textId="77777777" w:rsidR="002F156D" w:rsidRPr="001A0CC1" w:rsidRDefault="002F156D" w:rsidP="00646F50">
            <w:pPr>
              <w:pStyle w:val="ListParagraph"/>
              <w:numPr>
                <w:ilvl w:val="0"/>
                <w:numId w:val="1"/>
              </w:numPr>
              <w:ind w:left="0" w:firstLine="0"/>
              <w:contextualSpacing w:val="0"/>
              <w:jc w:val="center"/>
              <w:rPr>
                <w:b/>
                <w:szCs w:val="22"/>
              </w:rPr>
            </w:pPr>
          </w:p>
        </w:tc>
        <w:tc>
          <w:tcPr>
            <w:tcW w:w="9497" w:type="dxa"/>
          </w:tcPr>
          <w:p w14:paraId="04E34EF7" w14:textId="77777777" w:rsidR="002F156D" w:rsidRDefault="002F156D" w:rsidP="00646F50">
            <w:pPr>
              <w:rPr>
                <w:b/>
                <w:bCs/>
                <w:szCs w:val="22"/>
              </w:rPr>
            </w:pPr>
            <w:r>
              <w:rPr>
                <w:b/>
                <w:bCs/>
                <w:szCs w:val="22"/>
              </w:rPr>
              <w:t>DATE OF NEXT MEETING</w:t>
            </w:r>
          </w:p>
          <w:p w14:paraId="66918264" w14:textId="77777777" w:rsidR="006454D9" w:rsidRDefault="006454D9" w:rsidP="00646F50">
            <w:pPr>
              <w:rPr>
                <w:b/>
                <w:bCs/>
                <w:szCs w:val="22"/>
              </w:rPr>
            </w:pPr>
          </w:p>
          <w:p w14:paraId="291D1F06" w14:textId="77777777" w:rsidR="006454D9" w:rsidRDefault="006454D9" w:rsidP="00646F50">
            <w:pPr>
              <w:rPr>
                <w:szCs w:val="22"/>
              </w:rPr>
            </w:pPr>
            <w:r>
              <w:rPr>
                <w:szCs w:val="22"/>
              </w:rPr>
              <w:t>Tuesday 9 December 2025 at 10.00 followed by the Board Christmas Lunch.</w:t>
            </w:r>
          </w:p>
          <w:p w14:paraId="60EDF844" w14:textId="77777777" w:rsidR="006454D9" w:rsidRDefault="006454D9" w:rsidP="00646F50">
            <w:pPr>
              <w:rPr>
                <w:szCs w:val="22"/>
              </w:rPr>
            </w:pPr>
          </w:p>
          <w:p w14:paraId="423F5561" w14:textId="77777777" w:rsidR="006454D9" w:rsidRDefault="006454D9" w:rsidP="00646F50">
            <w:pPr>
              <w:rPr>
                <w:szCs w:val="22"/>
              </w:rPr>
            </w:pPr>
            <w:r>
              <w:rPr>
                <w:szCs w:val="22"/>
              </w:rPr>
              <w:t>It was agreed</w:t>
            </w:r>
            <w:r w:rsidR="00D96B3A">
              <w:rPr>
                <w:szCs w:val="22"/>
              </w:rPr>
              <w:t xml:space="preserve">, given the current financial situation, that Board members would be asked to contribute to the cost of the </w:t>
            </w:r>
            <w:r w:rsidR="00077055">
              <w:rPr>
                <w:szCs w:val="22"/>
              </w:rPr>
              <w:t>lunch on a voluntary basis.</w:t>
            </w:r>
          </w:p>
          <w:p w14:paraId="1A081173" w14:textId="0CBE1913" w:rsidR="00077055" w:rsidRPr="006454D9" w:rsidRDefault="00077055" w:rsidP="00646F50">
            <w:pPr>
              <w:rPr>
                <w:szCs w:val="22"/>
              </w:rPr>
            </w:pPr>
          </w:p>
        </w:tc>
      </w:tr>
    </w:tbl>
    <w:p w14:paraId="5FCB0E8A" w14:textId="77777777" w:rsidR="002A5664" w:rsidRDefault="002A5664" w:rsidP="002A5664">
      <w:pPr>
        <w:rPr>
          <w:b/>
          <w:szCs w:val="22"/>
        </w:rPr>
      </w:pPr>
    </w:p>
    <w:tbl>
      <w:tblPr>
        <w:tblpPr w:leftFromText="180" w:rightFromText="180" w:vertAnchor="text" w:tblpX="-147" w:tblpY="11"/>
        <w:tblW w:w="10060" w:type="dxa"/>
        <w:tblLayout w:type="fixed"/>
        <w:tblCellMar>
          <w:left w:w="0" w:type="dxa"/>
          <w:right w:w="0" w:type="dxa"/>
        </w:tblCellMar>
        <w:tblLook w:val="01E0" w:firstRow="1" w:lastRow="1" w:firstColumn="1" w:lastColumn="1" w:noHBand="0" w:noVBand="0"/>
      </w:tblPr>
      <w:tblGrid>
        <w:gridCol w:w="6101"/>
        <w:gridCol w:w="1843"/>
        <w:gridCol w:w="2116"/>
      </w:tblGrid>
      <w:tr w:rsidR="00965B13" w:rsidRPr="00D43501" w14:paraId="5AA60D3D" w14:textId="77777777" w:rsidTr="00FC2969">
        <w:trPr>
          <w:trHeight w:val="310"/>
        </w:trPr>
        <w:tc>
          <w:tcPr>
            <w:tcW w:w="6101" w:type="dxa"/>
          </w:tcPr>
          <w:p w14:paraId="1D5DB1B4" w14:textId="77777777" w:rsidR="00965B13" w:rsidRPr="00D43501" w:rsidRDefault="00965B13" w:rsidP="00FC2969">
            <w:pPr>
              <w:pStyle w:val="TableParagraph"/>
              <w:spacing w:before="0"/>
              <w:rPr>
                <w:b/>
              </w:rPr>
            </w:pPr>
            <w:r w:rsidRPr="00D43501">
              <w:rPr>
                <w:b/>
                <w:u w:val="thick"/>
              </w:rPr>
              <w:t>Action Point Summary</w:t>
            </w:r>
          </w:p>
        </w:tc>
        <w:tc>
          <w:tcPr>
            <w:tcW w:w="1843" w:type="dxa"/>
          </w:tcPr>
          <w:p w14:paraId="2E76F7C5" w14:textId="77777777" w:rsidR="00965B13" w:rsidRPr="00D43501" w:rsidRDefault="00965B13" w:rsidP="00FC2969">
            <w:pPr>
              <w:pStyle w:val="TableParagraph"/>
              <w:spacing w:before="0"/>
              <w:rPr>
                <w:rFonts w:ascii="Times New Roman"/>
              </w:rPr>
            </w:pPr>
          </w:p>
        </w:tc>
        <w:tc>
          <w:tcPr>
            <w:tcW w:w="2116" w:type="dxa"/>
          </w:tcPr>
          <w:p w14:paraId="250C0EF2" w14:textId="77777777" w:rsidR="00965B13" w:rsidRPr="00D43501" w:rsidRDefault="00965B13" w:rsidP="00FC2969">
            <w:pPr>
              <w:pStyle w:val="TableParagraph"/>
              <w:spacing w:before="0"/>
              <w:rPr>
                <w:rFonts w:ascii="Times New Roman"/>
              </w:rPr>
            </w:pPr>
          </w:p>
        </w:tc>
      </w:tr>
      <w:tr w:rsidR="00965B13" w:rsidRPr="00D43501" w14:paraId="2286CA9A" w14:textId="77777777" w:rsidTr="00FC2969">
        <w:trPr>
          <w:trHeight w:val="374"/>
        </w:trPr>
        <w:tc>
          <w:tcPr>
            <w:tcW w:w="6101" w:type="dxa"/>
          </w:tcPr>
          <w:p w14:paraId="2F56C743" w14:textId="77777777" w:rsidR="00965B13" w:rsidRPr="00D43501" w:rsidRDefault="00965B13" w:rsidP="00FC2969">
            <w:pPr>
              <w:pStyle w:val="TableParagraph"/>
              <w:spacing w:before="0"/>
              <w:jc w:val="center"/>
              <w:rPr>
                <w:b/>
              </w:rPr>
            </w:pPr>
            <w:r w:rsidRPr="00D43501">
              <w:rPr>
                <w:b/>
              </w:rPr>
              <w:t>Action</w:t>
            </w:r>
          </w:p>
        </w:tc>
        <w:tc>
          <w:tcPr>
            <w:tcW w:w="1843" w:type="dxa"/>
          </w:tcPr>
          <w:p w14:paraId="2F27109C" w14:textId="77777777" w:rsidR="00965B13" w:rsidRPr="00D43501" w:rsidRDefault="00965B13" w:rsidP="00FC2969">
            <w:pPr>
              <w:pStyle w:val="TableParagraph"/>
              <w:spacing w:before="0"/>
              <w:jc w:val="center"/>
              <w:rPr>
                <w:b/>
              </w:rPr>
            </w:pPr>
            <w:r w:rsidRPr="00D43501">
              <w:rPr>
                <w:b/>
              </w:rPr>
              <w:t>Responsibility</w:t>
            </w:r>
          </w:p>
        </w:tc>
        <w:tc>
          <w:tcPr>
            <w:tcW w:w="2116" w:type="dxa"/>
          </w:tcPr>
          <w:p w14:paraId="08B4FE27" w14:textId="77777777" w:rsidR="00965B13" w:rsidRPr="00D43501" w:rsidRDefault="00965B13" w:rsidP="00FC2969">
            <w:pPr>
              <w:pStyle w:val="TableParagraph"/>
              <w:spacing w:before="0"/>
              <w:jc w:val="center"/>
              <w:rPr>
                <w:b/>
              </w:rPr>
            </w:pPr>
            <w:r w:rsidRPr="00D43501">
              <w:rPr>
                <w:b/>
              </w:rPr>
              <w:t>Date</w:t>
            </w:r>
          </w:p>
        </w:tc>
      </w:tr>
      <w:tr w:rsidR="00965B13" w:rsidRPr="00592F9F" w14:paraId="23BAA58E" w14:textId="77777777" w:rsidTr="00FC2969">
        <w:trPr>
          <w:trHeight w:val="374"/>
        </w:trPr>
        <w:tc>
          <w:tcPr>
            <w:tcW w:w="6101" w:type="dxa"/>
          </w:tcPr>
          <w:p w14:paraId="281744C6" w14:textId="77777777" w:rsidR="00965B13" w:rsidRDefault="00965B13" w:rsidP="00FC2969">
            <w:pPr>
              <w:pStyle w:val="TableParagraph"/>
              <w:spacing w:before="0"/>
              <w:rPr>
                <w:bCs/>
              </w:rPr>
            </w:pPr>
            <w:r>
              <w:rPr>
                <w:bCs/>
              </w:rPr>
              <w:t>T</w:t>
            </w:r>
            <w:r w:rsidRPr="00F83C0F">
              <w:rPr>
                <w:bCs/>
              </w:rPr>
              <w:t xml:space="preserve">o </w:t>
            </w:r>
            <w:r>
              <w:rPr>
                <w:bCs/>
              </w:rPr>
              <w:t>review and (if possible) add page numbers to the packaged papers</w:t>
            </w:r>
            <w:r w:rsidRPr="00F83C0F">
              <w:rPr>
                <w:bCs/>
              </w:rPr>
              <w:t>.</w:t>
            </w:r>
          </w:p>
          <w:p w14:paraId="1FB616B4" w14:textId="77777777" w:rsidR="00965B13" w:rsidRPr="00592F9F" w:rsidRDefault="00965B13" w:rsidP="00FC2969">
            <w:pPr>
              <w:pStyle w:val="TableParagraph"/>
              <w:spacing w:before="0"/>
              <w:rPr>
                <w:bCs/>
              </w:rPr>
            </w:pPr>
          </w:p>
        </w:tc>
        <w:tc>
          <w:tcPr>
            <w:tcW w:w="1843" w:type="dxa"/>
          </w:tcPr>
          <w:p w14:paraId="2791C8C4" w14:textId="77777777" w:rsidR="00965B13" w:rsidRPr="00592F9F" w:rsidRDefault="00965B13" w:rsidP="00FC2969">
            <w:pPr>
              <w:pStyle w:val="TableParagraph"/>
              <w:spacing w:before="0"/>
              <w:jc w:val="center"/>
              <w:rPr>
                <w:bCs/>
              </w:rPr>
            </w:pPr>
            <w:r>
              <w:rPr>
                <w:bCs/>
              </w:rPr>
              <w:t>S Taylor</w:t>
            </w:r>
          </w:p>
        </w:tc>
        <w:tc>
          <w:tcPr>
            <w:tcW w:w="2116" w:type="dxa"/>
          </w:tcPr>
          <w:p w14:paraId="1ECFC4B9" w14:textId="77777777" w:rsidR="00965B13" w:rsidRPr="00592F9F" w:rsidRDefault="00965B13" w:rsidP="00FC2969">
            <w:pPr>
              <w:pStyle w:val="TableParagraph"/>
              <w:spacing w:before="0"/>
              <w:jc w:val="center"/>
              <w:rPr>
                <w:bCs/>
              </w:rPr>
            </w:pPr>
            <w:r>
              <w:rPr>
                <w:bCs/>
              </w:rPr>
              <w:t>9 December 2025</w:t>
            </w:r>
          </w:p>
        </w:tc>
      </w:tr>
      <w:tr w:rsidR="00965B13" w:rsidRPr="00592F9F" w14:paraId="668E95A0" w14:textId="77777777" w:rsidTr="00FC2969">
        <w:trPr>
          <w:trHeight w:val="374"/>
        </w:trPr>
        <w:tc>
          <w:tcPr>
            <w:tcW w:w="6101" w:type="dxa"/>
          </w:tcPr>
          <w:p w14:paraId="279DCC00" w14:textId="77777777" w:rsidR="00965B13" w:rsidRDefault="00965B13" w:rsidP="00FC2969">
            <w:pPr>
              <w:pStyle w:val="TableParagraph"/>
              <w:spacing w:before="0"/>
              <w:rPr>
                <w:bCs/>
              </w:rPr>
            </w:pPr>
            <w:r>
              <w:rPr>
                <w:bCs/>
              </w:rPr>
              <w:t>Board discussion and scrutiny arrangements for the savings plan to be confirmed.</w:t>
            </w:r>
          </w:p>
          <w:p w14:paraId="4A6E02D7" w14:textId="39D7BC53" w:rsidR="00965B13" w:rsidRDefault="00965B13" w:rsidP="00FC2969">
            <w:pPr>
              <w:pStyle w:val="TableParagraph"/>
              <w:spacing w:before="0"/>
              <w:rPr>
                <w:bCs/>
              </w:rPr>
            </w:pPr>
          </w:p>
        </w:tc>
        <w:tc>
          <w:tcPr>
            <w:tcW w:w="1843" w:type="dxa"/>
          </w:tcPr>
          <w:p w14:paraId="796FCC2B" w14:textId="77777777" w:rsidR="00965B13" w:rsidRPr="00592F9F" w:rsidRDefault="00965B13" w:rsidP="00FC2969">
            <w:pPr>
              <w:pStyle w:val="TableParagraph"/>
              <w:spacing w:before="0"/>
              <w:jc w:val="center"/>
              <w:rPr>
                <w:bCs/>
              </w:rPr>
            </w:pPr>
            <w:r>
              <w:rPr>
                <w:bCs/>
              </w:rPr>
              <w:t>S Hewitt, L O’Donnell</w:t>
            </w:r>
          </w:p>
        </w:tc>
        <w:tc>
          <w:tcPr>
            <w:tcW w:w="2116" w:type="dxa"/>
          </w:tcPr>
          <w:p w14:paraId="50F87432" w14:textId="77777777" w:rsidR="00965B13" w:rsidRPr="00592F9F" w:rsidRDefault="00965B13" w:rsidP="00FC2969">
            <w:pPr>
              <w:pStyle w:val="TableParagraph"/>
              <w:spacing w:before="0"/>
              <w:jc w:val="center"/>
              <w:rPr>
                <w:bCs/>
              </w:rPr>
            </w:pPr>
            <w:r>
              <w:rPr>
                <w:bCs/>
              </w:rPr>
              <w:t>3 October 2025</w:t>
            </w:r>
          </w:p>
        </w:tc>
      </w:tr>
      <w:tr w:rsidR="00965B13" w14:paraId="220BAAB7" w14:textId="77777777" w:rsidTr="00FC2969">
        <w:trPr>
          <w:trHeight w:val="374"/>
        </w:trPr>
        <w:tc>
          <w:tcPr>
            <w:tcW w:w="6101" w:type="dxa"/>
          </w:tcPr>
          <w:p w14:paraId="6E4D1162" w14:textId="77777777" w:rsidR="00965B13" w:rsidRDefault="00965B13" w:rsidP="00FC2969">
            <w:pPr>
              <w:pStyle w:val="TableParagraph"/>
              <w:spacing w:before="0"/>
              <w:rPr>
                <w:bCs/>
              </w:rPr>
            </w:pPr>
            <w:r>
              <w:rPr>
                <w:bCs/>
              </w:rPr>
              <w:t>Board Secretary appointment to be progressed.</w:t>
            </w:r>
          </w:p>
          <w:p w14:paraId="070F17CF" w14:textId="6BA7E2F4" w:rsidR="00965B13" w:rsidRDefault="00965B13" w:rsidP="00FC2969">
            <w:pPr>
              <w:pStyle w:val="TableParagraph"/>
              <w:spacing w:before="0"/>
              <w:rPr>
                <w:bCs/>
              </w:rPr>
            </w:pPr>
          </w:p>
        </w:tc>
        <w:tc>
          <w:tcPr>
            <w:tcW w:w="1843" w:type="dxa"/>
          </w:tcPr>
          <w:p w14:paraId="69111D43" w14:textId="77777777" w:rsidR="00965B13" w:rsidRDefault="00965B13" w:rsidP="00FC2969">
            <w:pPr>
              <w:pStyle w:val="TableParagraph"/>
              <w:spacing w:before="0"/>
              <w:jc w:val="center"/>
              <w:rPr>
                <w:bCs/>
              </w:rPr>
            </w:pPr>
            <w:r>
              <w:rPr>
                <w:bCs/>
              </w:rPr>
              <w:t>L O’Donnell</w:t>
            </w:r>
          </w:p>
        </w:tc>
        <w:tc>
          <w:tcPr>
            <w:tcW w:w="2116" w:type="dxa"/>
          </w:tcPr>
          <w:p w14:paraId="509C94F7" w14:textId="77777777" w:rsidR="00965B13" w:rsidRDefault="00965B13" w:rsidP="00FC2969">
            <w:pPr>
              <w:pStyle w:val="TableParagraph"/>
              <w:spacing w:before="0"/>
              <w:jc w:val="center"/>
              <w:rPr>
                <w:bCs/>
              </w:rPr>
            </w:pPr>
            <w:r>
              <w:rPr>
                <w:bCs/>
              </w:rPr>
              <w:t>9 December 2025</w:t>
            </w:r>
          </w:p>
        </w:tc>
      </w:tr>
      <w:tr w:rsidR="00965B13" w14:paraId="50BFA3C1" w14:textId="77777777" w:rsidTr="00FC2969">
        <w:trPr>
          <w:trHeight w:val="374"/>
        </w:trPr>
        <w:tc>
          <w:tcPr>
            <w:tcW w:w="6101" w:type="dxa"/>
          </w:tcPr>
          <w:p w14:paraId="34A0DFEF" w14:textId="77777777" w:rsidR="00965B13" w:rsidRPr="00291025" w:rsidRDefault="00965B13" w:rsidP="00FC2969">
            <w:pPr>
              <w:pStyle w:val="TableParagraph"/>
              <w:spacing w:before="0"/>
              <w:rPr>
                <w:bCs/>
              </w:rPr>
            </w:pPr>
            <w:r>
              <w:rPr>
                <w:bCs/>
              </w:rPr>
              <w:t>T</w:t>
            </w:r>
            <w:r w:rsidRPr="00291025">
              <w:rPr>
                <w:bCs/>
              </w:rPr>
              <w:t>o correct the typographical error noted by B Lawrie in section 3.6 of the Risk Register.</w:t>
            </w:r>
          </w:p>
          <w:p w14:paraId="1ABBA92C" w14:textId="77777777" w:rsidR="00965B13" w:rsidRDefault="00965B13" w:rsidP="00FC2969">
            <w:pPr>
              <w:pStyle w:val="TableParagraph"/>
              <w:spacing w:before="0"/>
              <w:rPr>
                <w:bCs/>
              </w:rPr>
            </w:pPr>
          </w:p>
        </w:tc>
        <w:tc>
          <w:tcPr>
            <w:tcW w:w="1843" w:type="dxa"/>
          </w:tcPr>
          <w:p w14:paraId="2C55AC31" w14:textId="77777777" w:rsidR="00965B13" w:rsidRDefault="00965B13" w:rsidP="00FC2969">
            <w:pPr>
              <w:pStyle w:val="TableParagraph"/>
              <w:spacing w:before="0"/>
              <w:jc w:val="center"/>
              <w:rPr>
                <w:bCs/>
              </w:rPr>
            </w:pPr>
            <w:r>
              <w:rPr>
                <w:bCs/>
              </w:rPr>
              <w:t>S Taylor</w:t>
            </w:r>
          </w:p>
        </w:tc>
        <w:tc>
          <w:tcPr>
            <w:tcW w:w="2116" w:type="dxa"/>
          </w:tcPr>
          <w:p w14:paraId="6DBB97E8" w14:textId="77777777" w:rsidR="00965B13" w:rsidRDefault="00965B13" w:rsidP="00FC2969">
            <w:pPr>
              <w:pStyle w:val="TableParagraph"/>
              <w:spacing w:before="0"/>
              <w:jc w:val="center"/>
              <w:rPr>
                <w:bCs/>
              </w:rPr>
            </w:pPr>
            <w:r>
              <w:rPr>
                <w:bCs/>
              </w:rPr>
              <w:t>9 December 2025</w:t>
            </w:r>
          </w:p>
        </w:tc>
      </w:tr>
      <w:tr w:rsidR="00965B13" w14:paraId="6D405AF6" w14:textId="77777777" w:rsidTr="00FC2969">
        <w:trPr>
          <w:trHeight w:val="374"/>
        </w:trPr>
        <w:tc>
          <w:tcPr>
            <w:tcW w:w="6101" w:type="dxa"/>
          </w:tcPr>
          <w:p w14:paraId="62FA0258" w14:textId="77777777" w:rsidR="00965B13" w:rsidRDefault="00965B13" w:rsidP="00FC2969">
            <w:pPr>
              <w:pStyle w:val="TableParagraph"/>
              <w:spacing w:before="0"/>
              <w:rPr>
                <w:bCs/>
              </w:rPr>
            </w:pPr>
            <w:r>
              <w:rPr>
                <w:bCs/>
              </w:rPr>
              <w:t xml:space="preserve">Response to </w:t>
            </w:r>
            <w:r w:rsidRPr="00CD6967">
              <w:t xml:space="preserve"> the Secretary of the Wheelchair Basketball Club </w:t>
            </w:r>
            <w:r>
              <w:t>to be provided.</w:t>
            </w:r>
          </w:p>
        </w:tc>
        <w:tc>
          <w:tcPr>
            <w:tcW w:w="1843" w:type="dxa"/>
          </w:tcPr>
          <w:p w14:paraId="2C38E501" w14:textId="77777777" w:rsidR="00965B13" w:rsidRDefault="00965B13" w:rsidP="00FC2969">
            <w:pPr>
              <w:pStyle w:val="TableParagraph"/>
              <w:spacing w:before="0"/>
              <w:jc w:val="center"/>
              <w:rPr>
                <w:bCs/>
              </w:rPr>
            </w:pPr>
            <w:r>
              <w:rPr>
                <w:bCs/>
              </w:rPr>
              <w:t>L O’Donnell</w:t>
            </w:r>
          </w:p>
        </w:tc>
        <w:tc>
          <w:tcPr>
            <w:tcW w:w="2116" w:type="dxa"/>
          </w:tcPr>
          <w:p w14:paraId="1DB61495" w14:textId="77777777" w:rsidR="00965B13" w:rsidRDefault="00965B13" w:rsidP="00FC2969">
            <w:pPr>
              <w:pStyle w:val="TableParagraph"/>
              <w:spacing w:before="0"/>
              <w:jc w:val="center"/>
              <w:rPr>
                <w:bCs/>
              </w:rPr>
            </w:pPr>
            <w:r>
              <w:rPr>
                <w:bCs/>
              </w:rPr>
              <w:t>3 October 2025</w:t>
            </w:r>
          </w:p>
        </w:tc>
      </w:tr>
    </w:tbl>
    <w:p w14:paraId="26F93901" w14:textId="77777777" w:rsidR="00ED7A2C" w:rsidRDefault="00ED7A2C"/>
    <w:sectPr w:rsidR="00ED7A2C" w:rsidSect="00811C55">
      <w:footerReference w:type="default" r:id="rId11"/>
      <w:pgSz w:w="11909" w:h="16834" w:code="9"/>
      <w:pgMar w:top="1134" w:right="1134" w:bottom="113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1793" w14:textId="77777777" w:rsidR="00FC3076" w:rsidRDefault="00FC3076">
      <w:r>
        <w:separator/>
      </w:r>
    </w:p>
  </w:endnote>
  <w:endnote w:type="continuationSeparator" w:id="0">
    <w:p w14:paraId="64E30C76" w14:textId="77777777" w:rsidR="00FC3076" w:rsidRDefault="00FC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50154"/>
      <w:docPartObj>
        <w:docPartGallery w:val="Page Numbers (Bottom of Page)"/>
        <w:docPartUnique/>
      </w:docPartObj>
    </w:sdtPr>
    <w:sdtContent>
      <w:sdt>
        <w:sdtPr>
          <w:id w:val="-1769616900"/>
          <w:docPartObj>
            <w:docPartGallery w:val="Page Numbers (Top of Page)"/>
            <w:docPartUnique/>
          </w:docPartObj>
        </w:sdtPr>
        <w:sdtContent>
          <w:p w14:paraId="5684B70A" w14:textId="7D271B62" w:rsidR="00DA5040" w:rsidRDefault="00DA5040">
            <w:pPr>
              <w:pStyle w:val="Footer"/>
              <w:jc w:val="right"/>
            </w:pPr>
            <w:r w:rsidRPr="00DA5040">
              <w:rPr>
                <w:sz w:val="20"/>
              </w:rPr>
              <w:t xml:space="preserve">Page </w:t>
            </w:r>
            <w:r w:rsidRPr="00DA5040">
              <w:rPr>
                <w:sz w:val="20"/>
              </w:rPr>
              <w:fldChar w:fldCharType="begin"/>
            </w:r>
            <w:r w:rsidRPr="00DA5040">
              <w:rPr>
                <w:sz w:val="20"/>
              </w:rPr>
              <w:instrText xml:space="preserve"> PAGE </w:instrText>
            </w:r>
            <w:r w:rsidRPr="00DA5040">
              <w:rPr>
                <w:sz w:val="20"/>
              </w:rPr>
              <w:fldChar w:fldCharType="separate"/>
            </w:r>
            <w:r w:rsidRPr="00DA5040">
              <w:rPr>
                <w:noProof/>
                <w:sz w:val="20"/>
              </w:rPr>
              <w:t>2</w:t>
            </w:r>
            <w:r w:rsidRPr="00DA5040">
              <w:rPr>
                <w:sz w:val="20"/>
              </w:rPr>
              <w:fldChar w:fldCharType="end"/>
            </w:r>
            <w:r w:rsidRPr="00DA5040">
              <w:rPr>
                <w:sz w:val="20"/>
              </w:rPr>
              <w:t xml:space="preserve"> of </w:t>
            </w:r>
            <w:r w:rsidRPr="00DA5040">
              <w:rPr>
                <w:sz w:val="20"/>
              </w:rPr>
              <w:fldChar w:fldCharType="begin"/>
            </w:r>
            <w:r w:rsidRPr="00DA5040">
              <w:rPr>
                <w:sz w:val="20"/>
              </w:rPr>
              <w:instrText xml:space="preserve"> NUMPAGES  </w:instrText>
            </w:r>
            <w:r w:rsidRPr="00DA5040">
              <w:rPr>
                <w:sz w:val="20"/>
              </w:rPr>
              <w:fldChar w:fldCharType="separate"/>
            </w:r>
            <w:r w:rsidRPr="00DA5040">
              <w:rPr>
                <w:noProof/>
                <w:sz w:val="20"/>
              </w:rPr>
              <w:t>2</w:t>
            </w:r>
            <w:r w:rsidRPr="00DA5040">
              <w:rPr>
                <w:sz w:val="20"/>
              </w:rPr>
              <w:fldChar w:fldCharType="end"/>
            </w:r>
          </w:p>
        </w:sdtContent>
      </w:sdt>
    </w:sdtContent>
  </w:sdt>
  <w:p w14:paraId="1765BB36" w14:textId="77777777" w:rsidR="002A5664" w:rsidRDefault="002A5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5E0B" w14:textId="77777777" w:rsidR="00FC3076" w:rsidRDefault="00FC3076">
      <w:r>
        <w:separator/>
      </w:r>
    </w:p>
  </w:footnote>
  <w:footnote w:type="continuationSeparator" w:id="0">
    <w:p w14:paraId="638DFCF3" w14:textId="77777777" w:rsidR="00FC3076" w:rsidRDefault="00FC3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93CF2"/>
    <w:multiLevelType w:val="multilevel"/>
    <w:tmpl w:val="61D22584"/>
    <w:lvl w:ilvl="0">
      <w:start w:val="1"/>
      <w:numFmt w:val="decimal"/>
      <w:lvlText w:val="%1."/>
      <w:lvlJc w:val="left"/>
      <w:pPr>
        <w:ind w:left="502" w:hanging="360"/>
      </w:pPr>
    </w:lvl>
    <w:lvl w:ilvl="1">
      <w:start w:val="1"/>
      <w:numFmt w:val="decimal"/>
      <w:isLgl/>
      <w:lvlText w:val="%1.%2"/>
      <w:lvlJc w:val="left"/>
      <w:pPr>
        <w:ind w:left="720" w:hanging="360"/>
      </w:pPr>
      <w:rPr>
        <w:rFonts w:hint="default"/>
        <w:b/>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61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64"/>
    <w:rsid w:val="000055F9"/>
    <w:rsid w:val="00022E03"/>
    <w:rsid w:val="00024440"/>
    <w:rsid w:val="00026883"/>
    <w:rsid w:val="00030115"/>
    <w:rsid w:val="0003074E"/>
    <w:rsid w:val="00032A96"/>
    <w:rsid w:val="00033F91"/>
    <w:rsid w:val="00040C6A"/>
    <w:rsid w:val="000609BF"/>
    <w:rsid w:val="000616C6"/>
    <w:rsid w:val="000618FB"/>
    <w:rsid w:val="00061AB4"/>
    <w:rsid w:val="000671D9"/>
    <w:rsid w:val="000716A1"/>
    <w:rsid w:val="0007244A"/>
    <w:rsid w:val="00077055"/>
    <w:rsid w:val="00095DA8"/>
    <w:rsid w:val="000976FA"/>
    <w:rsid w:val="000A7509"/>
    <w:rsid w:val="000B5ABE"/>
    <w:rsid w:val="000E2DED"/>
    <w:rsid w:val="000E5BE7"/>
    <w:rsid w:val="001300D8"/>
    <w:rsid w:val="0013575E"/>
    <w:rsid w:val="00137BB0"/>
    <w:rsid w:val="001451DF"/>
    <w:rsid w:val="00145989"/>
    <w:rsid w:val="00147BFF"/>
    <w:rsid w:val="001509D8"/>
    <w:rsid w:val="00153B84"/>
    <w:rsid w:val="001653CD"/>
    <w:rsid w:val="00173C54"/>
    <w:rsid w:val="00190DEA"/>
    <w:rsid w:val="0019426A"/>
    <w:rsid w:val="001A60A9"/>
    <w:rsid w:val="001A61DC"/>
    <w:rsid w:val="001B1437"/>
    <w:rsid w:val="001B4FE7"/>
    <w:rsid w:val="001C2909"/>
    <w:rsid w:val="001C6AA3"/>
    <w:rsid w:val="001D254E"/>
    <w:rsid w:val="001E1452"/>
    <w:rsid w:val="001E65EC"/>
    <w:rsid w:val="001F490F"/>
    <w:rsid w:val="00212608"/>
    <w:rsid w:val="00213CC4"/>
    <w:rsid w:val="00213F08"/>
    <w:rsid w:val="00230799"/>
    <w:rsid w:val="00231B7D"/>
    <w:rsid w:val="00237777"/>
    <w:rsid w:val="00244E8A"/>
    <w:rsid w:val="0024541F"/>
    <w:rsid w:val="0024753B"/>
    <w:rsid w:val="00262C78"/>
    <w:rsid w:val="00281086"/>
    <w:rsid w:val="00284B4C"/>
    <w:rsid w:val="00287B97"/>
    <w:rsid w:val="00287DE2"/>
    <w:rsid w:val="00291025"/>
    <w:rsid w:val="00292EBE"/>
    <w:rsid w:val="002A0BE4"/>
    <w:rsid w:val="002A134E"/>
    <w:rsid w:val="002A4EC2"/>
    <w:rsid w:val="002A5664"/>
    <w:rsid w:val="002A5E31"/>
    <w:rsid w:val="002A69F5"/>
    <w:rsid w:val="002B056A"/>
    <w:rsid w:val="002B22B1"/>
    <w:rsid w:val="002D6144"/>
    <w:rsid w:val="002D7001"/>
    <w:rsid w:val="002E76EE"/>
    <w:rsid w:val="002F156D"/>
    <w:rsid w:val="002F7386"/>
    <w:rsid w:val="00302760"/>
    <w:rsid w:val="003058D8"/>
    <w:rsid w:val="003067A8"/>
    <w:rsid w:val="00307C3A"/>
    <w:rsid w:val="00312AD9"/>
    <w:rsid w:val="003143D2"/>
    <w:rsid w:val="00317AFD"/>
    <w:rsid w:val="0032565D"/>
    <w:rsid w:val="00326906"/>
    <w:rsid w:val="003341AD"/>
    <w:rsid w:val="00345D26"/>
    <w:rsid w:val="00352021"/>
    <w:rsid w:val="00355419"/>
    <w:rsid w:val="0039043A"/>
    <w:rsid w:val="003A3B41"/>
    <w:rsid w:val="003D1315"/>
    <w:rsid w:val="003D5AB8"/>
    <w:rsid w:val="003F2D3C"/>
    <w:rsid w:val="003F5591"/>
    <w:rsid w:val="0040181C"/>
    <w:rsid w:val="004175ED"/>
    <w:rsid w:val="00424F59"/>
    <w:rsid w:val="00430111"/>
    <w:rsid w:val="0044209B"/>
    <w:rsid w:val="004433B6"/>
    <w:rsid w:val="00444941"/>
    <w:rsid w:val="00445A02"/>
    <w:rsid w:val="00446212"/>
    <w:rsid w:val="00452637"/>
    <w:rsid w:val="00453FC4"/>
    <w:rsid w:val="004540FC"/>
    <w:rsid w:val="0047146C"/>
    <w:rsid w:val="004752F0"/>
    <w:rsid w:val="0047618A"/>
    <w:rsid w:val="00476D2E"/>
    <w:rsid w:val="00480ADE"/>
    <w:rsid w:val="00481273"/>
    <w:rsid w:val="004816AD"/>
    <w:rsid w:val="00487CEA"/>
    <w:rsid w:val="00493748"/>
    <w:rsid w:val="00497808"/>
    <w:rsid w:val="004A287F"/>
    <w:rsid w:val="004B7E50"/>
    <w:rsid w:val="004C1B6A"/>
    <w:rsid w:val="004C5B32"/>
    <w:rsid w:val="004D3CEF"/>
    <w:rsid w:val="004D57FA"/>
    <w:rsid w:val="004D6CD6"/>
    <w:rsid w:val="004E2B73"/>
    <w:rsid w:val="004E5AB0"/>
    <w:rsid w:val="004F0AEC"/>
    <w:rsid w:val="004F548E"/>
    <w:rsid w:val="00501038"/>
    <w:rsid w:val="00504FDA"/>
    <w:rsid w:val="005173E6"/>
    <w:rsid w:val="00517A54"/>
    <w:rsid w:val="00517CBB"/>
    <w:rsid w:val="0052766F"/>
    <w:rsid w:val="005360F6"/>
    <w:rsid w:val="00536FED"/>
    <w:rsid w:val="0054396A"/>
    <w:rsid w:val="005516C4"/>
    <w:rsid w:val="00561CC2"/>
    <w:rsid w:val="00562442"/>
    <w:rsid w:val="00567C6A"/>
    <w:rsid w:val="00570A16"/>
    <w:rsid w:val="00582E8E"/>
    <w:rsid w:val="005852EA"/>
    <w:rsid w:val="005956B8"/>
    <w:rsid w:val="005A0FFA"/>
    <w:rsid w:val="005A786E"/>
    <w:rsid w:val="005B1578"/>
    <w:rsid w:val="005C43F5"/>
    <w:rsid w:val="005C62A6"/>
    <w:rsid w:val="005D45FC"/>
    <w:rsid w:val="005E6976"/>
    <w:rsid w:val="005F7096"/>
    <w:rsid w:val="00601A4D"/>
    <w:rsid w:val="006038A9"/>
    <w:rsid w:val="00603BB1"/>
    <w:rsid w:val="0060731A"/>
    <w:rsid w:val="00621DB1"/>
    <w:rsid w:val="00621E03"/>
    <w:rsid w:val="00634DD5"/>
    <w:rsid w:val="00634E68"/>
    <w:rsid w:val="00637FDE"/>
    <w:rsid w:val="006454D9"/>
    <w:rsid w:val="00645D69"/>
    <w:rsid w:val="00646F50"/>
    <w:rsid w:val="006546A3"/>
    <w:rsid w:val="006723D6"/>
    <w:rsid w:val="00680333"/>
    <w:rsid w:val="006822F0"/>
    <w:rsid w:val="00683AD6"/>
    <w:rsid w:val="00684668"/>
    <w:rsid w:val="0069319E"/>
    <w:rsid w:val="00696E12"/>
    <w:rsid w:val="006A6566"/>
    <w:rsid w:val="006B48B3"/>
    <w:rsid w:val="006B4C24"/>
    <w:rsid w:val="006E0BB5"/>
    <w:rsid w:val="006E3716"/>
    <w:rsid w:val="006E4EA3"/>
    <w:rsid w:val="006F2191"/>
    <w:rsid w:val="006F488F"/>
    <w:rsid w:val="007067C9"/>
    <w:rsid w:val="00714A34"/>
    <w:rsid w:val="00715CAE"/>
    <w:rsid w:val="0072031B"/>
    <w:rsid w:val="007229D8"/>
    <w:rsid w:val="00743929"/>
    <w:rsid w:val="0075290D"/>
    <w:rsid w:val="007532CC"/>
    <w:rsid w:val="0076440A"/>
    <w:rsid w:val="00764E54"/>
    <w:rsid w:val="00777F82"/>
    <w:rsid w:val="00785F49"/>
    <w:rsid w:val="0079114E"/>
    <w:rsid w:val="00792701"/>
    <w:rsid w:val="007C4987"/>
    <w:rsid w:val="007C7279"/>
    <w:rsid w:val="007D2660"/>
    <w:rsid w:val="007D2F53"/>
    <w:rsid w:val="007E37BF"/>
    <w:rsid w:val="007F23AC"/>
    <w:rsid w:val="00801C3B"/>
    <w:rsid w:val="0080273D"/>
    <w:rsid w:val="00803849"/>
    <w:rsid w:val="00810016"/>
    <w:rsid w:val="00811C55"/>
    <w:rsid w:val="00811E4B"/>
    <w:rsid w:val="00814012"/>
    <w:rsid w:val="00816564"/>
    <w:rsid w:val="00817133"/>
    <w:rsid w:val="00817F9E"/>
    <w:rsid w:val="00825AD2"/>
    <w:rsid w:val="00834D19"/>
    <w:rsid w:val="00840A46"/>
    <w:rsid w:val="008415CD"/>
    <w:rsid w:val="0084444F"/>
    <w:rsid w:val="00852790"/>
    <w:rsid w:val="00855647"/>
    <w:rsid w:val="00860942"/>
    <w:rsid w:val="008653FB"/>
    <w:rsid w:val="00874614"/>
    <w:rsid w:val="0087718A"/>
    <w:rsid w:val="0088334A"/>
    <w:rsid w:val="00892D02"/>
    <w:rsid w:val="008941B9"/>
    <w:rsid w:val="0089691C"/>
    <w:rsid w:val="008A279D"/>
    <w:rsid w:val="008A76C6"/>
    <w:rsid w:val="008C0D17"/>
    <w:rsid w:val="008D34DB"/>
    <w:rsid w:val="008E020A"/>
    <w:rsid w:val="008E3932"/>
    <w:rsid w:val="008E4A01"/>
    <w:rsid w:val="008E68C2"/>
    <w:rsid w:val="008F027A"/>
    <w:rsid w:val="008F344B"/>
    <w:rsid w:val="008F5F27"/>
    <w:rsid w:val="00901177"/>
    <w:rsid w:val="00910942"/>
    <w:rsid w:val="009128C6"/>
    <w:rsid w:val="00915B3F"/>
    <w:rsid w:val="00915EF0"/>
    <w:rsid w:val="00921858"/>
    <w:rsid w:val="00922DA7"/>
    <w:rsid w:val="00924906"/>
    <w:rsid w:val="0092796E"/>
    <w:rsid w:val="00943CA1"/>
    <w:rsid w:val="00953A9D"/>
    <w:rsid w:val="009547E9"/>
    <w:rsid w:val="00955ACF"/>
    <w:rsid w:val="00960E85"/>
    <w:rsid w:val="00963C4F"/>
    <w:rsid w:val="00964E27"/>
    <w:rsid w:val="00965B13"/>
    <w:rsid w:val="0097746A"/>
    <w:rsid w:val="009943C0"/>
    <w:rsid w:val="00995D9F"/>
    <w:rsid w:val="009A4D73"/>
    <w:rsid w:val="009B4C59"/>
    <w:rsid w:val="009C07F9"/>
    <w:rsid w:val="009C51C1"/>
    <w:rsid w:val="009C7714"/>
    <w:rsid w:val="009C7B67"/>
    <w:rsid w:val="009D01A9"/>
    <w:rsid w:val="009D0802"/>
    <w:rsid w:val="009D3418"/>
    <w:rsid w:val="009D3705"/>
    <w:rsid w:val="009D5A0C"/>
    <w:rsid w:val="009D7098"/>
    <w:rsid w:val="009D7407"/>
    <w:rsid w:val="009E54DA"/>
    <w:rsid w:val="009F1E10"/>
    <w:rsid w:val="009F2044"/>
    <w:rsid w:val="00A03E00"/>
    <w:rsid w:val="00A0709F"/>
    <w:rsid w:val="00A159DC"/>
    <w:rsid w:val="00A1702D"/>
    <w:rsid w:val="00A209DD"/>
    <w:rsid w:val="00A24BF4"/>
    <w:rsid w:val="00A24DB4"/>
    <w:rsid w:val="00A32BED"/>
    <w:rsid w:val="00A346A4"/>
    <w:rsid w:val="00A37880"/>
    <w:rsid w:val="00A41BFE"/>
    <w:rsid w:val="00A451F1"/>
    <w:rsid w:val="00A61628"/>
    <w:rsid w:val="00A712D4"/>
    <w:rsid w:val="00A71890"/>
    <w:rsid w:val="00A7568C"/>
    <w:rsid w:val="00A82083"/>
    <w:rsid w:val="00A92611"/>
    <w:rsid w:val="00A95F10"/>
    <w:rsid w:val="00A97D47"/>
    <w:rsid w:val="00AA7586"/>
    <w:rsid w:val="00AB3887"/>
    <w:rsid w:val="00AB46CC"/>
    <w:rsid w:val="00AB5955"/>
    <w:rsid w:val="00AD3CDD"/>
    <w:rsid w:val="00AD7C84"/>
    <w:rsid w:val="00AE0F18"/>
    <w:rsid w:val="00AE68AB"/>
    <w:rsid w:val="00AF0D21"/>
    <w:rsid w:val="00AF3323"/>
    <w:rsid w:val="00AF3776"/>
    <w:rsid w:val="00B005AB"/>
    <w:rsid w:val="00B02181"/>
    <w:rsid w:val="00B024CF"/>
    <w:rsid w:val="00B070B1"/>
    <w:rsid w:val="00B07CE8"/>
    <w:rsid w:val="00B1375E"/>
    <w:rsid w:val="00B13A69"/>
    <w:rsid w:val="00B222C5"/>
    <w:rsid w:val="00B24AC0"/>
    <w:rsid w:val="00B27636"/>
    <w:rsid w:val="00B3204A"/>
    <w:rsid w:val="00B35F02"/>
    <w:rsid w:val="00B37BA6"/>
    <w:rsid w:val="00B655EF"/>
    <w:rsid w:val="00B71054"/>
    <w:rsid w:val="00B716F7"/>
    <w:rsid w:val="00B721CB"/>
    <w:rsid w:val="00B762D7"/>
    <w:rsid w:val="00B90F29"/>
    <w:rsid w:val="00B9450C"/>
    <w:rsid w:val="00B95454"/>
    <w:rsid w:val="00BA0A5C"/>
    <w:rsid w:val="00BA1252"/>
    <w:rsid w:val="00BB5E28"/>
    <w:rsid w:val="00BE0A1F"/>
    <w:rsid w:val="00BE4EF2"/>
    <w:rsid w:val="00C059CB"/>
    <w:rsid w:val="00C122FD"/>
    <w:rsid w:val="00C154E8"/>
    <w:rsid w:val="00C2412F"/>
    <w:rsid w:val="00C27930"/>
    <w:rsid w:val="00C4628D"/>
    <w:rsid w:val="00C602AD"/>
    <w:rsid w:val="00C63A77"/>
    <w:rsid w:val="00C6498A"/>
    <w:rsid w:val="00C77602"/>
    <w:rsid w:val="00C832C3"/>
    <w:rsid w:val="00C93720"/>
    <w:rsid w:val="00CA0F95"/>
    <w:rsid w:val="00CA18E5"/>
    <w:rsid w:val="00CB77E5"/>
    <w:rsid w:val="00CB7F5C"/>
    <w:rsid w:val="00CD01F0"/>
    <w:rsid w:val="00CD6967"/>
    <w:rsid w:val="00CE43A9"/>
    <w:rsid w:val="00CF22C7"/>
    <w:rsid w:val="00CF5761"/>
    <w:rsid w:val="00CF735A"/>
    <w:rsid w:val="00D103F1"/>
    <w:rsid w:val="00D10500"/>
    <w:rsid w:val="00D10973"/>
    <w:rsid w:val="00D13CEC"/>
    <w:rsid w:val="00D225F7"/>
    <w:rsid w:val="00D25423"/>
    <w:rsid w:val="00D25F68"/>
    <w:rsid w:val="00D32CB4"/>
    <w:rsid w:val="00D476E0"/>
    <w:rsid w:val="00D5176D"/>
    <w:rsid w:val="00D673E7"/>
    <w:rsid w:val="00D7466C"/>
    <w:rsid w:val="00D74F4F"/>
    <w:rsid w:val="00D842EB"/>
    <w:rsid w:val="00D94B3E"/>
    <w:rsid w:val="00D94BD5"/>
    <w:rsid w:val="00D96B3A"/>
    <w:rsid w:val="00DA5040"/>
    <w:rsid w:val="00DB5F05"/>
    <w:rsid w:val="00DC1A5D"/>
    <w:rsid w:val="00DC4C24"/>
    <w:rsid w:val="00DD1D33"/>
    <w:rsid w:val="00DD46DD"/>
    <w:rsid w:val="00DD6413"/>
    <w:rsid w:val="00DE501B"/>
    <w:rsid w:val="00DE7ADB"/>
    <w:rsid w:val="00E06DDE"/>
    <w:rsid w:val="00E115E6"/>
    <w:rsid w:val="00E1704E"/>
    <w:rsid w:val="00E17D9E"/>
    <w:rsid w:val="00E20299"/>
    <w:rsid w:val="00E34E0E"/>
    <w:rsid w:val="00E377E2"/>
    <w:rsid w:val="00E479F1"/>
    <w:rsid w:val="00E7737D"/>
    <w:rsid w:val="00E86635"/>
    <w:rsid w:val="00E86FA8"/>
    <w:rsid w:val="00E916D8"/>
    <w:rsid w:val="00E91B5C"/>
    <w:rsid w:val="00EA6DB8"/>
    <w:rsid w:val="00EB1664"/>
    <w:rsid w:val="00EB6A9C"/>
    <w:rsid w:val="00EB7071"/>
    <w:rsid w:val="00EC1C76"/>
    <w:rsid w:val="00EC3A67"/>
    <w:rsid w:val="00EC47D2"/>
    <w:rsid w:val="00EC6627"/>
    <w:rsid w:val="00ED4EC6"/>
    <w:rsid w:val="00ED7A2C"/>
    <w:rsid w:val="00F00D3A"/>
    <w:rsid w:val="00F043D4"/>
    <w:rsid w:val="00F065E4"/>
    <w:rsid w:val="00F1079D"/>
    <w:rsid w:val="00F112B6"/>
    <w:rsid w:val="00F15FC4"/>
    <w:rsid w:val="00F204F4"/>
    <w:rsid w:val="00F20FF0"/>
    <w:rsid w:val="00F27E1D"/>
    <w:rsid w:val="00F35468"/>
    <w:rsid w:val="00F41FE6"/>
    <w:rsid w:val="00F44F3A"/>
    <w:rsid w:val="00F516D8"/>
    <w:rsid w:val="00F55948"/>
    <w:rsid w:val="00F56C36"/>
    <w:rsid w:val="00F677E5"/>
    <w:rsid w:val="00F80C47"/>
    <w:rsid w:val="00F8357A"/>
    <w:rsid w:val="00F83C0F"/>
    <w:rsid w:val="00F90E62"/>
    <w:rsid w:val="00FA3FE5"/>
    <w:rsid w:val="00FA5A73"/>
    <w:rsid w:val="00FA6621"/>
    <w:rsid w:val="00FB3B68"/>
    <w:rsid w:val="00FB560E"/>
    <w:rsid w:val="00FC1A4B"/>
    <w:rsid w:val="00FC3076"/>
    <w:rsid w:val="00FD2172"/>
    <w:rsid w:val="00FD5805"/>
    <w:rsid w:val="00FE3B24"/>
    <w:rsid w:val="00FE58E4"/>
    <w:rsid w:val="00FF0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0606"/>
  <w15:chartTrackingRefBased/>
  <w15:docId w15:val="{6772343E-4F0A-4114-8A12-D53865A1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664"/>
    <w:pPr>
      <w:spacing w:after="0" w:line="240" w:lineRule="auto"/>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2A5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6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6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6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6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664"/>
    <w:rPr>
      <w:rFonts w:eastAsiaTheme="majorEastAsia" w:cstheme="majorBidi"/>
      <w:color w:val="272727" w:themeColor="text1" w:themeTint="D8"/>
    </w:rPr>
  </w:style>
  <w:style w:type="paragraph" w:styleId="Title">
    <w:name w:val="Title"/>
    <w:basedOn w:val="Normal"/>
    <w:next w:val="Normal"/>
    <w:link w:val="TitleChar"/>
    <w:uiPriority w:val="10"/>
    <w:qFormat/>
    <w:rsid w:val="002A56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664"/>
    <w:pPr>
      <w:spacing w:before="160"/>
      <w:jc w:val="center"/>
    </w:pPr>
    <w:rPr>
      <w:i/>
      <w:iCs/>
      <w:color w:val="404040" w:themeColor="text1" w:themeTint="BF"/>
    </w:rPr>
  </w:style>
  <w:style w:type="character" w:customStyle="1" w:styleId="QuoteChar">
    <w:name w:val="Quote Char"/>
    <w:basedOn w:val="DefaultParagraphFont"/>
    <w:link w:val="Quote"/>
    <w:uiPriority w:val="29"/>
    <w:rsid w:val="002A5664"/>
    <w:rPr>
      <w:i/>
      <w:iCs/>
      <w:color w:val="404040" w:themeColor="text1" w:themeTint="BF"/>
    </w:rPr>
  </w:style>
  <w:style w:type="paragraph" w:styleId="ListParagraph">
    <w:name w:val="List Paragraph"/>
    <w:basedOn w:val="Normal"/>
    <w:uiPriority w:val="34"/>
    <w:qFormat/>
    <w:rsid w:val="002A5664"/>
    <w:pPr>
      <w:ind w:left="720"/>
      <w:contextualSpacing/>
    </w:pPr>
  </w:style>
  <w:style w:type="character" w:styleId="IntenseEmphasis">
    <w:name w:val="Intense Emphasis"/>
    <w:basedOn w:val="DefaultParagraphFont"/>
    <w:uiPriority w:val="21"/>
    <w:qFormat/>
    <w:rsid w:val="002A5664"/>
    <w:rPr>
      <w:i/>
      <w:iCs/>
      <w:color w:val="0F4761" w:themeColor="accent1" w:themeShade="BF"/>
    </w:rPr>
  </w:style>
  <w:style w:type="paragraph" w:styleId="IntenseQuote">
    <w:name w:val="Intense Quote"/>
    <w:basedOn w:val="Normal"/>
    <w:next w:val="Normal"/>
    <w:link w:val="IntenseQuoteChar"/>
    <w:uiPriority w:val="30"/>
    <w:qFormat/>
    <w:rsid w:val="002A5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664"/>
    <w:rPr>
      <w:i/>
      <w:iCs/>
      <w:color w:val="0F4761" w:themeColor="accent1" w:themeShade="BF"/>
    </w:rPr>
  </w:style>
  <w:style w:type="character" w:styleId="IntenseReference">
    <w:name w:val="Intense Reference"/>
    <w:basedOn w:val="DefaultParagraphFont"/>
    <w:uiPriority w:val="32"/>
    <w:qFormat/>
    <w:rsid w:val="002A5664"/>
    <w:rPr>
      <w:b/>
      <w:bCs/>
      <w:smallCaps/>
      <w:color w:val="0F4761" w:themeColor="accent1" w:themeShade="BF"/>
      <w:spacing w:val="5"/>
    </w:rPr>
  </w:style>
  <w:style w:type="paragraph" w:styleId="Footer">
    <w:name w:val="footer"/>
    <w:basedOn w:val="Normal"/>
    <w:link w:val="FooterChar"/>
    <w:uiPriority w:val="99"/>
    <w:rsid w:val="002A5664"/>
    <w:pPr>
      <w:tabs>
        <w:tab w:val="center" w:pos="4320"/>
        <w:tab w:val="right" w:pos="8640"/>
      </w:tabs>
    </w:pPr>
  </w:style>
  <w:style w:type="character" w:customStyle="1" w:styleId="FooterChar">
    <w:name w:val="Footer Char"/>
    <w:basedOn w:val="DefaultParagraphFont"/>
    <w:link w:val="Footer"/>
    <w:uiPriority w:val="99"/>
    <w:rsid w:val="002A5664"/>
    <w:rPr>
      <w:rFonts w:ascii="Arial" w:eastAsia="Times New Roman" w:hAnsi="Arial" w:cs="Times New Roman"/>
      <w:kern w:val="0"/>
      <w:sz w:val="22"/>
      <w:szCs w:val="20"/>
      <w14:ligatures w14:val="none"/>
    </w:rPr>
  </w:style>
  <w:style w:type="paragraph" w:styleId="Header">
    <w:name w:val="header"/>
    <w:basedOn w:val="Normal"/>
    <w:link w:val="HeaderChar"/>
    <w:rsid w:val="002A5664"/>
    <w:pPr>
      <w:tabs>
        <w:tab w:val="center" w:pos="4153"/>
        <w:tab w:val="right" w:pos="8306"/>
      </w:tabs>
    </w:pPr>
  </w:style>
  <w:style w:type="character" w:customStyle="1" w:styleId="HeaderChar">
    <w:name w:val="Header Char"/>
    <w:basedOn w:val="DefaultParagraphFont"/>
    <w:link w:val="Header"/>
    <w:rsid w:val="002A5664"/>
    <w:rPr>
      <w:rFonts w:ascii="Arial" w:eastAsia="Times New Roman" w:hAnsi="Arial" w:cs="Times New Roman"/>
      <w:kern w:val="0"/>
      <w:sz w:val="22"/>
      <w:szCs w:val="20"/>
      <w14:ligatures w14:val="none"/>
    </w:rPr>
  </w:style>
  <w:style w:type="table" w:styleId="TableGrid">
    <w:name w:val="Table Grid"/>
    <w:basedOn w:val="TableNormal"/>
    <w:rsid w:val="002A566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B7071"/>
    <w:pPr>
      <w:widowControl w:val="0"/>
      <w:autoSpaceDE w:val="0"/>
      <w:autoSpaceDN w:val="0"/>
      <w:spacing w:before="134"/>
    </w:pPr>
    <w:rPr>
      <w:rFonts w:eastAsia="Arial" w:cs="Arial"/>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3287">
      <w:bodyDiv w:val="1"/>
      <w:marLeft w:val="0"/>
      <w:marRight w:val="0"/>
      <w:marTop w:val="0"/>
      <w:marBottom w:val="0"/>
      <w:divBdr>
        <w:top w:val="none" w:sz="0" w:space="0" w:color="auto"/>
        <w:left w:val="none" w:sz="0" w:space="0" w:color="auto"/>
        <w:bottom w:val="none" w:sz="0" w:space="0" w:color="auto"/>
        <w:right w:val="none" w:sz="0" w:space="0" w:color="auto"/>
      </w:divBdr>
    </w:div>
    <w:div w:id="90204859">
      <w:bodyDiv w:val="1"/>
      <w:marLeft w:val="0"/>
      <w:marRight w:val="0"/>
      <w:marTop w:val="0"/>
      <w:marBottom w:val="0"/>
      <w:divBdr>
        <w:top w:val="none" w:sz="0" w:space="0" w:color="auto"/>
        <w:left w:val="none" w:sz="0" w:space="0" w:color="auto"/>
        <w:bottom w:val="none" w:sz="0" w:space="0" w:color="auto"/>
        <w:right w:val="none" w:sz="0" w:space="0" w:color="auto"/>
      </w:divBdr>
    </w:div>
    <w:div w:id="144785990">
      <w:bodyDiv w:val="1"/>
      <w:marLeft w:val="0"/>
      <w:marRight w:val="0"/>
      <w:marTop w:val="0"/>
      <w:marBottom w:val="0"/>
      <w:divBdr>
        <w:top w:val="none" w:sz="0" w:space="0" w:color="auto"/>
        <w:left w:val="none" w:sz="0" w:space="0" w:color="auto"/>
        <w:bottom w:val="none" w:sz="0" w:space="0" w:color="auto"/>
        <w:right w:val="none" w:sz="0" w:space="0" w:color="auto"/>
      </w:divBdr>
    </w:div>
    <w:div w:id="266079039">
      <w:bodyDiv w:val="1"/>
      <w:marLeft w:val="0"/>
      <w:marRight w:val="0"/>
      <w:marTop w:val="0"/>
      <w:marBottom w:val="0"/>
      <w:divBdr>
        <w:top w:val="none" w:sz="0" w:space="0" w:color="auto"/>
        <w:left w:val="none" w:sz="0" w:space="0" w:color="auto"/>
        <w:bottom w:val="none" w:sz="0" w:space="0" w:color="auto"/>
        <w:right w:val="none" w:sz="0" w:space="0" w:color="auto"/>
      </w:divBdr>
    </w:div>
    <w:div w:id="295768780">
      <w:bodyDiv w:val="1"/>
      <w:marLeft w:val="0"/>
      <w:marRight w:val="0"/>
      <w:marTop w:val="0"/>
      <w:marBottom w:val="0"/>
      <w:divBdr>
        <w:top w:val="none" w:sz="0" w:space="0" w:color="auto"/>
        <w:left w:val="none" w:sz="0" w:space="0" w:color="auto"/>
        <w:bottom w:val="none" w:sz="0" w:space="0" w:color="auto"/>
        <w:right w:val="none" w:sz="0" w:space="0" w:color="auto"/>
      </w:divBdr>
    </w:div>
    <w:div w:id="375200206">
      <w:bodyDiv w:val="1"/>
      <w:marLeft w:val="0"/>
      <w:marRight w:val="0"/>
      <w:marTop w:val="0"/>
      <w:marBottom w:val="0"/>
      <w:divBdr>
        <w:top w:val="none" w:sz="0" w:space="0" w:color="auto"/>
        <w:left w:val="none" w:sz="0" w:space="0" w:color="auto"/>
        <w:bottom w:val="none" w:sz="0" w:space="0" w:color="auto"/>
        <w:right w:val="none" w:sz="0" w:space="0" w:color="auto"/>
      </w:divBdr>
    </w:div>
    <w:div w:id="387802826">
      <w:bodyDiv w:val="1"/>
      <w:marLeft w:val="0"/>
      <w:marRight w:val="0"/>
      <w:marTop w:val="0"/>
      <w:marBottom w:val="0"/>
      <w:divBdr>
        <w:top w:val="none" w:sz="0" w:space="0" w:color="auto"/>
        <w:left w:val="none" w:sz="0" w:space="0" w:color="auto"/>
        <w:bottom w:val="none" w:sz="0" w:space="0" w:color="auto"/>
        <w:right w:val="none" w:sz="0" w:space="0" w:color="auto"/>
      </w:divBdr>
    </w:div>
    <w:div w:id="400057924">
      <w:bodyDiv w:val="1"/>
      <w:marLeft w:val="0"/>
      <w:marRight w:val="0"/>
      <w:marTop w:val="0"/>
      <w:marBottom w:val="0"/>
      <w:divBdr>
        <w:top w:val="none" w:sz="0" w:space="0" w:color="auto"/>
        <w:left w:val="none" w:sz="0" w:space="0" w:color="auto"/>
        <w:bottom w:val="none" w:sz="0" w:space="0" w:color="auto"/>
        <w:right w:val="none" w:sz="0" w:space="0" w:color="auto"/>
      </w:divBdr>
    </w:div>
    <w:div w:id="420370322">
      <w:bodyDiv w:val="1"/>
      <w:marLeft w:val="0"/>
      <w:marRight w:val="0"/>
      <w:marTop w:val="0"/>
      <w:marBottom w:val="0"/>
      <w:divBdr>
        <w:top w:val="none" w:sz="0" w:space="0" w:color="auto"/>
        <w:left w:val="none" w:sz="0" w:space="0" w:color="auto"/>
        <w:bottom w:val="none" w:sz="0" w:space="0" w:color="auto"/>
        <w:right w:val="none" w:sz="0" w:space="0" w:color="auto"/>
      </w:divBdr>
      <w:divsChild>
        <w:div w:id="1394159660">
          <w:marLeft w:val="0"/>
          <w:marRight w:val="0"/>
          <w:marTop w:val="0"/>
          <w:marBottom w:val="0"/>
          <w:divBdr>
            <w:top w:val="none" w:sz="0" w:space="0" w:color="auto"/>
            <w:left w:val="none" w:sz="0" w:space="0" w:color="auto"/>
            <w:bottom w:val="none" w:sz="0" w:space="0" w:color="auto"/>
            <w:right w:val="none" w:sz="0" w:space="0" w:color="auto"/>
          </w:divBdr>
          <w:divsChild>
            <w:div w:id="663628338">
              <w:marLeft w:val="0"/>
              <w:marRight w:val="0"/>
              <w:marTop w:val="0"/>
              <w:marBottom w:val="0"/>
              <w:divBdr>
                <w:top w:val="none" w:sz="0" w:space="0" w:color="auto"/>
                <w:left w:val="none" w:sz="0" w:space="0" w:color="auto"/>
                <w:bottom w:val="none" w:sz="0" w:space="0" w:color="auto"/>
                <w:right w:val="none" w:sz="0" w:space="0" w:color="auto"/>
              </w:divBdr>
              <w:divsChild>
                <w:div w:id="856650321">
                  <w:marLeft w:val="0"/>
                  <w:marRight w:val="0"/>
                  <w:marTop w:val="0"/>
                  <w:marBottom w:val="0"/>
                  <w:divBdr>
                    <w:top w:val="none" w:sz="0" w:space="0" w:color="auto"/>
                    <w:left w:val="none" w:sz="0" w:space="0" w:color="auto"/>
                    <w:bottom w:val="none" w:sz="0" w:space="0" w:color="auto"/>
                    <w:right w:val="none" w:sz="0" w:space="0" w:color="auto"/>
                  </w:divBdr>
                  <w:divsChild>
                    <w:div w:id="1233351843">
                      <w:marLeft w:val="0"/>
                      <w:marRight w:val="0"/>
                      <w:marTop w:val="0"/>
                      <w:marBottom w:val="0"/>
                      <w:divBdr>
                        <w:top w:val="none" w:sz="0" w:space="0" w:color="auto"/>
                        <w:left w:val="none" w:sz="0" w:space="0" w:color="auto"/>
                        <w:bottom w:val="none" w:sz="0" w:space="0" w:color="auto"/>
                        <w:right w:val="none" w:sz="0" w:space="0" w:color="auto"/>
                      </w:divBdr>
                      <w:divsChild>
                        <w:div w:id="1663463851">
                          <w:marLeft w:val="0"/>
                          <w:marRight w:val="0"/>
                          <w:marTop w:val="0"/>
                          <w:marBottom w:val="0"/>
                          <w:divBdr>
                            <w:top w:val="none" w:sz="0" w:space="0" w:color="auto"/>
                            <w:left w:val="none" w:sz="0" w:space="0" w:color="auto"/>
                            <w:bottom w:val="none" w:sz="0" w:space="0" w:color="auto"/>
                            <w:right w:val="none" w:sz="0" w:space="0" w:color="auto"/>
                          </w:divBdr>
                          <w:divsChild>
                            <w:div w:id="16287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026133">
      <w:bodyDiv w:val="1"/>
      <w:marLeft w:val="0"/>
      <w:marRight w:val="0"/>
      <w:marTop w:val="0"/>
      <w:marBottom w:val="0"/>
      <w:divBdr>
        <w:top w:val="none" w:sz="0" w:space="0" w:color="auto"/>
        <w:left w:val="none" w:sz="0" w:space="0" w:color="auto"/>
        <w:bottom w:val="none" w:sz="0" w:space="0" w:color="auto"/>
        <w:right w:val="none" w:sz="0" w:space="0" w:color="auto"/>
      </w:divBdr>
      <w:divsChild>
        <w:div w:id="611597127">
          <w:marLeft w:val="0"/>
          <w:marRight w:val="0"/>
          <w:marTop w:val="0"/>
          <w:marBottom w:val="0"/>
          <w:divBdr>
            <w:top w:val="none" w:sz="0" w:space="0" w:color="auto"/>
            <w:left w:val="none" w:sz="0" w:space="0" w:color="auto"/>
            <w:bottom w:val="none" w:sz="0" w:space="0" w:color="auto"/>
            <w:right w:val="none" w:sz="0" w:space="0" w:color="auto"/>
          </w:divBdr>
          <w:divsChild>
            <w:div w:id="289869399">
              <w:marLeft w:val="0"/>
              <w:marRight w:val="0"/>
              <w:marTop w:val="0"/>
              <w:marBottom w:val="0"/>
              <w:divBdr>
                <w:top w:val="none" w:sz="0" w:space="0" w:color="auto"/>
                <w:left w:val="none" w:sz="0" w:space="0" w:color="auto"/>
                <w:bottom w:val="none" w:sz="0" w:space="0" w:color="auto"/>
                <w:right w:val="none" w:sz="0" w:space="0" w:color="auto"/>
              </w:divBdr>
              <w:divsChild>
                <w:div w:id="983044344">
                  <w:marLeft w:val="0"/>
                  <w:marRight w:val="0"/>
                  <w:marTop w:val="0"/>
                  <w:marBottom w:val="0"/>
                  <w:divBdr>
                    <w:top w:val="none" w:sz="0" w:space="0" w:color="auto"/>
                    <w:left w:val="none" w:sz="0" w:space="0" w:color="auto"/>
                    <w:bottom w:val="none" w:sz="0" w:space="0" w:color="auto"/>
                    <w:right w:val="none" w:sz="0" w:space="0" w:color="auto"/>
                  </w:divBdr>
                  <w:divsChild>
                    <w:div w:id="95443002">
                      <w:marLeft w:val="0"/>
                      <w:marRight w:val="0"/>
                      <w:marTop w:val="0"/>
                      <w:marBottom w:val="0"/>
                      <w:divBdr>
                        <w:top w:val="none" w:sz="0" w:space="0" w:color="auto"/>
                        <w:left w:val="none" w:sz="0" w:space="0" w:color="auto"/>
                        <w:bottom w:val="none" w:sz="0" w:space="0" w:color="auto"/>
                        <w:right w:val="none" w:sz="0" w:space="0" w:color="auto"/>
                      </w:divBdr>
                      <w:divsChild>
                        <w:div w:id="587274462">
                          <w:marLeft w:val="0"/>
                          <w:marRight w:val="0"/>
                          <w:marTop w:val="0"/>
                          <w:marBottom w:val="0"/>
                          <w:divBdr>
                            <w:top w:val="none" w:sz="0" w:space="0" w:color="auto"/>
                            <w:left w:val="none" w:sz="0" w:space="0" w:color="auto"/>
                            <w:bottom w:val="none" w:sz="0" w:space="0" w:color="auto"/>
                            <w:right w:val="none" w:sz="0" w:space="0" w:color="auto"/>
                          </w:divBdr>
                          <w:divsChild>
                            <w:div w:id="2472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87211">
      <w:bodyDiv w:val="1"/>
      <w:marLeft w:val="0"/>
      <w:marRight w:val="0"/>
      <w:marTop w:val="0"/>
      <w:marBottom w:val="0"/>
      <w:divBdr>
        <w:top w:val="none" w:sz="0" w:space="0" w:color="auto"/>
        <w:left w:val="none" w:sz="0" w:space="0" w:color="auto"/>
        <w:bottom w:val="none" w:sz="0" w:space="0" w:color="auto"/>
        <w:right w:val="none" w:sz="0" w:space="0" w:color="auto"/>
      </w:divBdr>
    </w:div>
    <w:div w:id="711077110">
      <w:bodyDiv w:val="1"/>
      <w:marLeft w:val="0"/>
      <w:marRight w:val="0"/>
      <w:marTop w:val="0"/>
      <w:marBottom w:val="0"/>
      <w:divBdr>
        <w:top w:val="none" w:sz="0" w:space="0" w:color="auto"/>
        <w:left w:val="none" w:sz="0" w:space="0" w:color="auto"/>
        <w:bottom w:val="none" w:sz="0" w:space="0" w:color="auto"/>
        <w:right w:val="none" w:sz="0" w:space="0" w:color="auto"/>
      </w:divBdr>
    </w:div>
    <w:div w:id="727530043">
      <w:bodyDiv w:val="1"/>
      <w:marLeft w:val="0"/>
      <w:marRight w:val="0"/>
      <w:marTop w:val="0"/>
      <w:marBottom w:val="0"/>
      <w:divBdr>
        <w:top w:val="none" w:sz="0" w:space="0" w:color="auto"/>
        <w:left w:val="none" w:sz="0" w:space="0" w:color="auto"/>
        <w:bottom w:val="none" w:sz="0" w:space="0" w:color="auto"/>
        <w:right w:val="none" w:sz="0" w:space="0" w:color="auto"/>
      </w:divBdr>
    </w:div>
    <w:div w:id="1190607344">
      <w:bodyDiv w:val="1"/>
      <w:marLeft w:val="0"/>
      <w:marRight w:val="0"/>
      <w:marTop w:val="0"/>
      <w:marBottom w:val="0"/>
      <w:divBdr>
        <w:top w:val="none" w:sz="0" w:space="0" w:color="auto"/>
        <w:left w:val="none" w:sz="0" w:space="0" w:color="auto"/>
        <w:bottom w:val="none" w:sz="0" w:space="0" w:color="auto"/>
        <w:right w:val="none" w:sz="0" w:space="0" w:color="auto"/>
      </w:divBdr>
      <w:divsChild>
        <w:div w:id="1694842579">
          <w:marLeft w:val="0"/>
          <w:marRight w:val="0"/>
          <w:marTop w:val="0"/>
          <w:marBottom w:val="0"/>
          <w:divBdr>
            <w:top w:val="none" w:sz="0" w:space="0" w:color="auto"/>
            <w:left w:val="none" w:sz="0" w:space="0" w:color="auto"/>
            <w:bottom w:val="none" w:sz="0" w:space="0" w:color="auto"/>
            <w:right w:val="none" w:sz="0" w:space="0" w:color="auto"/>
          </w:divBdr>
          <w:divsChild>
            <w:div w:id="21395984">
              <w:marLeft w:val="0"/>
              <w:marRight w:val="0"/>
              <w:marTop w:val="0"/>
              <w:marBottom w:val="0"/>
              <w:divBdr>
                <w:top w:val="none" w:sz="0" w:space="0" w:color="auto"/>
                <w:left w:val="none" w:sz="0" w:space="0" w:color="auto"/>
                <w:bottom w:val="none" w:sz="0" w:space="0" w:color="auto"/>
                <w:right w:val="none" w:sz="0" w:space="0" w:color="auto"/>
              </w:divBdr>
              <w:divsChild>
                <w:div w:id="1840534871">
                  <w:marLeft w:val="0"/>
                  <w:marRight w:val="0"/>
                  <w:marTop w:val="0"/>
                  <w:marBottom w:val="0"/>
                  <w:divBdr>
                    <w:top w:val="none" w:sz="0" w:space="0" w:color="auto"/>
                    <w:left w:val="none" w:sz="0" w:space="0" w:color="auto"/>
                    <w:bottom w:val="none" w:sz="0" w:space="0" w:color="auto"/>
                    <w:right w:val="none" w:sz="0" w:space="0" w:color="auto"/>
                  </w:divBdr>
                  <w:divsChild>
                    <w:div w:id="1776436281">
                      <w:marLeft w:val="0"/>
                      <w:marRight w:val="0"/>
                      <w:marTop w:val="0"/>
                      <w:marBottom w:val="0"/>
                      <w:divBdr>
                        <w:top w:val="none" w:sz="0" w:space="0" w:color="auto"/>
                        <w:left w:val="none" w:sz="0" w:space="0" w:color="auto"/>
                        <w:bottom w:val="none" w:sz="0" w:space="0" w:color="auto"/>
                        <w:right w:val="none" w:sz="0" w:space="0" w:color="auto"/>
                      </w:divBdr>
                      <w:divsChild>
                        <w:div w:id="865674245">
                          <w:marLeft w:val="0"/>
                          <w:marRight w:val="0"/>
                          <w:marTop w:val="0"/>
                          <w:marBottom w:val="0"/>
                          <w:divBdr>
                            <w:top w:val="none" w:sz="0" w:space="0" w:color="auto"/>
                            <w:left w:val="none" w:sz="0" w:space="0" w:color="auto"/>
                            <w:bottom w:val="none" w:sz="0" w:space="0" w:color="auto"/>
                            <w:right w:val="none" w:sz="0" w:space="0" w:color="auto"/>
                          </w:divBdr>
                          <w:divsChild>
                            <w:div w:id="3730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143966">
      <w:bodyDiv w:val="1"/>
      <w:marLeft w:val="0"/>
      <w:marRight w:val="0"/>
      <w:marTop w:val="0"/>
      <w:marBottom w:val="0"/>
      <w:divBdr>
        <w:top w:val="none" w:sz="0" w:space="0" w:color="auto"/>
        <w:left w:val="none" w:sz="0" w:space="0" w:color="auto"/>
        <w:bottom w:val="none" w:sz="0" w:space="0" w:color="auto"/>
        <w:right w:val="none" w:sz="0" w:space="0" w:color="auto"/>
      </w:divBdr>
      <w:divsChild>
        <w:div w:id="1806967212">
          <w:marLeft w:val="0"/>
          <w:marRight w:val="0"/>
          <w:marTop w:val="0"/>
          <w:marBottom w:val="0"/>
          <w:divBdr>
            <w:top w:val="none" w:sz="0" w:space="0" w:color="auto"/>
            <w:left w:val="none" w:sz="0" w:space="0" w:color="auto"/>
            <w:bottom w:val="none" w:sz="0" w:space="0" w:color="auto"/>
            <w:right w:val="none" w:sz="0" w:space="0" w:color="auto"/>
          </w:divBdr>
          <w:divsChild>
            <w:div w:id="1823542492">
              <w:marLeft w:val="0"/>
              <w:marRight w:val="0"/>
              <w:marTop w:val="0"/>
              <w:marBottom w:val="0"/>
              <w:divBdr>
                <w:top w:val="none" w:sz="0" w:space="0" w:color="auto"/>
                <w:left w:val="none" w:sz="0" w:space="0" w:color="auto"/>
                <w:bottom w:val="none" w:sz="0" w:space="0" w:color="auto"/>
                <w:right w:val="none" w:sz="0" w:space="0" w:color="auto"/>
              </w:divBdr>
              <w:divsChild>
                <w:div w:id="1703247537">
                  <w:marLeft w:val="0"/>
                  <w:marRight w:val="0"/>
                  <w:marTop w:val="0"/>
                  <w:marBottom w:val="0"/>
                  <w:divBdr>
                    <w:top w:val="none" w:sz="0" w:space="0" w:color="auto"/>
                    <w:left w:val="none" w:sz="0" w:space="0" w:color="auto"/>
                    <w:bottom w:val="none" w:sz="0" w:space="0" w:color="auto"/>
                    <w:right w:val="none" w:sz="0" w:space="0" w:color="auto"/>
                  </w:divBdr>
                  <w:divsChild>
                    <w:div w:id="625042375">
                      <w:marLeft w:val="0"/>
                      <w:marRight w:val="0"/>
                      <w:marTop w:val="0"/>
                      <w:marBottom w:val="0"/>
                      <w:divBdr>
                        <w:top w:val="none" w:sz="0" w:space="0" w:color="auto"/>
                        <w:left w:val="none" w:sz="0" w:space="0" w:color="auto"/>
                        <w:bottom w:val="none" w:sz="0" w:space="0" w:color="auto"/>
                        <w:right w:val="none" w:sz="0" w:space="0" w:color="auto"/>
                      </w:divBdr>
                      <w:divsChild>
                        <w:div w:id="63769535">
                          <w:marLeft w:val="0"/>
                          <w:marRight w:val="0"/>
                          <w:marTop w:val="0"/>
                          <w:marBottom w:val="0"/>
                          <w:divBdr>
                            <w:top w:val="none" w:sz="0" w:space="0" w:color="auto"/>
                            <w:left w:val="none" w:sz="0" w:space="0" w:color="auto"/>
                            <w:bottom w:val="none" w:sz="0" w:space="0" w:color="auto"/>
                            <w:right w:val="none" w:sz="0" w:space="0" w:color="auto"/>
                          </w:divBdr>
                          <w:divsChild>
                            <w:div w:id="9004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5142">
      <w:bodyDiv w:val="1"/>
      <w:marLeft w:val="0"/>
      <w:marRight w:val="0"/>
      <w:marTop w:val="0"/>
      <w:marBottom w:val="0"/>
      <w:divBdr>
        <w:top w:val="none" w:sz="0" w:space="0" w:color="auto"/>
        <w:left w:val="none" w:sz="0" w:space="0" w:color="auto"/>
        <w:bottom w:val="none" w:sz="0" w:space="0" w:color="auto"/>
        <w:right w:val="none" w:sz="0" w:space="0" w:color="auto"/>
      </w:divBdr>
    </w:div>
    <w:div w:id="1896551801">
      <w:bodyDiv w:val="1"/>
      <w:marLeft w:val="0"/>
      <w:marRight w:val="0"/>
      <w:marTop w:val="0"/>
      <w:marBottom w:val="0"/>
      <w:divBdr>
        <w:top w:val="none" w:sz="0" w:space="0" w:color="auto"/>
        <w:left w:val="none" w:sz="0" w:space="0" w:color="auto"/>
        <w:bottom w:val="none" w:sz="0" w:space="0" w:color="auto"/>
        <w:right w:val="none" w:sz="0" w:space="0" w:color="auto"/>
      </w:divBdr>
    </w:div>
    <w:div w:id="2037778299">
      <w:bodyDiv w:val="1"/>
      <w:marLeft w:val="0"/>
      <w:marRight w:val="0"/>
      <w:marTop w:val="0"/>
      <w:marBottom w:val="0"/>
      <w:divBdr>
        <w:top w:val="none" w:sz="0" w:space="0" w:color="auto"/>
        <w:left w:val="none" w:sz="0" w:space="0" w:color="auto"/>
        <w:bottom w:val="none" w:sz="0" w:space="0" w:color="auto"/>
        <w:right w:val="none" w:sz="0" w:space="0" w:color="auto"/>
      </w:divBdr>
    </w:div>
    <w:div w:id="2082553810">
      <w:bodyDiv w:val="1"/>
      <w:marLeft w:val="0"/>
      <w:marRight w:val="0"/>
      <w:marTop w:val="0"/>
      <w:marBottom w:val="0"/>
      <w:divBdr>
        <w:top w:val="none" w:sz="0" w:space="0" w:color="auto"/>
        <w:left w:val="none" w:sz="0" w:space="0" w:color="auto"/>
        <w:bottom w:val="none" w:sz="0" w:space="0" w:color="auto"/>
        <w:right w:val="none" w:sz="0" w:space="0" w:color="auto"/>
      </w:divBdr>
    </w:div>
    <w:div w:id="211956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733c71-d1b6-4a86-8924-72355f3f5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2B0619E48DB146BF4E7EA6A45D2A6B" ma:contentTypeVersion="9" ma:contentTypeDescription="Create a new document." ma:contentTypeScope="" ma:versionID="8fb18d32628c8c4985fbe4720c38ab00">
  <xsd:schema xmlns:xsd="http://www.w3.org/2001/XMLSchema" xmlns:xs="http://www.w3.org/2001/XMLSchema" xmlns:p="http://schemas.microsoft.com/office/2006/metadata/properties" xmlns:ns2="35733c71-d1b6-4a86-8924-72355f3f55dc" targetNamespace="http://schemas.microsoft.com/office/2006/metadata/properties" ma:root="true" ma:fieldsID="24397855ff975645420deeec56677e49" ns2:_="">
    <xsd:import namespace="35733c71-d1b6-4a86-8924-72355f3f5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33c71-d1b6-4a86-8924-72355f3f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bec46d-453a-405f-9dc7-db8e94f2710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E666E-7AFF-4BB0-9E6D-0C04168AFAEF}">
  <ds:schemaRefs>
    <ds:schemaRef ds:uri="http://schemas.microsoft.com/office/2006/metadata/properties"/>
    <ds:schemaRef ds:uri="http://schemas.microsoft.com/office/infopath/2007/PartnerControls"/>
    <ds:schemaRef ds:uri="35733c71-d1b6-4a86-8924-72355f3f55dc"/>
  </ds:schemaRefs>
</ds:datastoreItem>
</file>

<file path=customXml/itemProps2.xml><?xml version="1.0" encoding="utf-8"?>
<ds:datastoreItem xmlns:ds="http://schemas.openxmlformats.org/officeDocument/2006/customXml" ds:itemID="{2B4AC2D1-78DF-40BA-9AFC-94B0B70A3A8B}">
  <ds:schemaRefs>
    <ds:schemaRef ds:uri="http://schemas.microsoft.com/sharepoint/v3/contenttype/forms"/>
  </ds:schemaRefs>
</ds:datastoreItem>
</file>

<file path=customXml/itemProps3.xml><?xml version="1.0" encoding="utf-8"?>
<ds:datastoreItem xmlns:ds="http://schemas.openxmlformats.org/officeDocument/2006/customXml" ds:itemID="{6F4A2874-9DFF-464C-BB33-5950F978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33c71-d1b6-4a86-8924-72355f3f5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8</Pages>
  <Words>2987</Words>
  <Characters>17028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Muir</dc:creator>
  <cp:keywords/>
  <dc:description/>
  <cp:lastModifiedBy>Steven Taylor</cp:lastModifiedBy>
  <cp:revision>412</cp:revision>
  <dcterms:created xsi:type="dcterms:W3CDTF">2025-09-30T08:29:00Z</dcterms:created>
  <dcterms:modified xsi:type="dcterms:W3CDTF">2025-10-06T07:59:00Z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0x010100A92B0619E48DB146BF4E7EA6A45D2A6B</vt:lpwstr>
  </property>
  <property fmtid="{D5CDD505-2E9C-101B-9397-08002B2CF9AE}" pid="3" name="MediaServiceImageTags">
    <vt:lpwstr/>
  </property>
</Properties>
</file>