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9B0DC" w14:textId="77777777" w:rsidR="00824E78" w:rsidRPr="00D363A3" w:rsidRDefault="00824E78" w:rsidP="00824E78">
      <w:pPr>
        <w:pStyle w:val="Heading1"/>
        <w:spacing w:before="130"/>
        <w:rPr>
          <w:rFonts w:ascii="Arial" w:hAnsi="Arial" w:cs="Arial"/>
          <w:b/>
          <w:bCs/>
          <w:color w:val="auto"/>
          <w:sz w:val="32"/>
          <w:szCs w:val="32"/>
        </w:rPr>
      </w:pPr>
      <w:r w:rsidRPr="00D363A3">
        <w:rPr>
          <w:rFonts w:ascii="Arial" w:hAnsi="Arial" w:cs="Arial"/>
          <w:b/>
          <w:bCs/>
          <w:noProof/>
          <w:color w:val="auto"/>
          <w:sz w:val="32"/>
          <w:szCs w:val="32"/>
          <w:lang w:val="en-GB" w:eastAsia="en-GB"/>
        </w:rPr>
        <w:drawing>
          <wp:anchor distT="0" distB="0" distL="0" distR="0" simplePos="0" relativeHeight="251659264" behindDoc="0" locked="0" layoutInCell="1" allowOverlap="1" wp14:anchorId="19498C62" wp14:editId="359B5781">
            <wp:simplePos x="0" y="0"/>
            <wp:positionH relativeFrom="page">
              <wp:posOffset>6218084</wp:posOffset>
            </wp:positionH>
            <wp:positionV relativeFrom="paragraph">
              <wp:posOffset>-5064</wp:posOffset>
            </wp:positionV>
            <wp:extent cx="751439" cy="863130"/>
            <wp:effectExtent l="0" t="0" r="0" b="0"/>
            <wp:wrapNone/>
            <wp:docPr id="1" name="Picture 1" descr="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51439" cy="863130"/>
                    </a:xfrm>
                    <a:prstGeom prst="rect">
                      <a:avLst/>
                    </a:prstGeom>
                  </pic:spPr>
                </pic:pic>
              </a:graphicData>
            </a:graphic>
          </wp:anchor>
        </w:drawing>
      </w:r>
      <w:r w:rsidRPr="00D363A3">
        <w:rPr>
          <w:rFonts w:ascii="Arial" w:hAnsi="Arial" w:cs="Arial"/>
          <w:b/>
          <w:bCs/>
          <w:color w:val="auto"/>
          <w:sz w:val="32"/>
          <w:szCs w:val="32"/>
        </w:rPr>
        <w:t>BOARD OF MANAGEMENT</w:t>
      </w:r>
    </w:p>
    <w:p w14:paraId="2962BBEB" w14:textId="77777777" w:rsidR="00824E78" w:rsidRDefault="00824E78" w:rsidP="00824E78">
      <w:pPr>
        <w:spacing w:before="1"/>
        <w:rPr>
          <w:b/>
          <w:sz w:val="32"/>
        </w:rPr>
      </w:pPr>
    </w:p>
    <w:p w14:paraId="4BCFF199" w14:textId="77777777" w:rsidR="00824E78" w:rsidRDefault="00824E78" w:rsidP="00824E78">
      <w:pPr>
        <w:rPr>
          <w:b/>
          <w:sz w:val="32"/>
        </w:rPr>
      </w:pPr>
      <w:r>
        <w:rPr>
          <w:b/>
          <w:sz w:val="32"/>
        </w:rPr>
        <w:t>People, Culture and Wellbeing Committee</w:t>
      </w:r>
    </w:p>
    <w:p w14:paraId="03746283" w14:textId="77777777" w:rsidR="00824E78" w:rsidRDefault="00824E78" w:rsidP="00824E78">
      <w:pPr>
        <w:spacing w:before="2"/>
        <w:rPr>
          <w:b/>
          <w:sz w:val="32"/>
        </w:rPr>
      </w:pPr>
    </w:p>
    <w:p w14:paraId="22F3EC98" w14:textId="77777777" w:rsidR="00824E78" w:rsidRPr="00D469BE" w:rsidRDefault="00824E78" w:rsidP="00824E78">
      <w:pPr>
        <w:pStyle w:val="BodyText"/>
        <w:ind w:right="2835"/>
      </w:pPr>
      <w:r w:rsidRPr="00D469BE">
        <w:rPr>
          <w:noProof/>
        </w:rPr>
        <mc:AlternateContent>
          <mc:Choice Requires="wps">
            <w:drawing>
              <wp:anchor distT="0" distB="0" distL="114300" distR="114300" simplePos="0" relativeHeight="251660288" behindDoc="1" locked="0" layoutInCell="1" allowOverlap="1" wp14:anchorId="2378C9C8" wp14:editId="6BE1AFEE">
                <wp:simplePos x="0" y="0"/>
                <wp:positionH relativeFrom="page">
                  <wp:posOffset>622300</wp:posOffset>
                </wp:positionH>
                <wp:positionV relativeFrom="paragraph">
                  <wp:posOffset>618490</wp:posOffset>
                </wp:positionV>
                <wp:extent cx="642429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42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12781"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pt,48.7pt" to="554.8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" strokeweight="1.5pt">
                <w10:wrap anchorx="page"/>
              </v:line>
            </w:pict>
          </mc:Fallback>
        </mc:AlternateContent>
      </w:r>
      <w:r w:rsidRPr="00D469BE">
        <w:t xml:space="preserve">Thursday </w:t>
      </w:r>
      <w:r>
        <w:t>4 September 2025</w:t>
      </w:r>
      <w:r w:rsidRPr="00D469BE">
        <w:t xml:space="preserve"> at 5.00pm </w:t>
      </w:r>
      <w:r w:rsidRPr="00D469BE">
        <w:rPr>
          <w:b/>
          <w:bCs/>
          <w:u w:val="single"/>
        </w:rPr>
        <w:t xml:space="preserve">Room </w:t>
      </w:r>
      <w:r>
        <w:rPr>
          <w:b/>
          <w:bCs/>
          <w:u w:val="single"/>
        </w:rPr>
        <w:t>K-TO-624</w:t>
      </w:r>
      <w:r w:rsidRPr="00D469BE">
        <w:rPr>
          <w:b/>
          <w:bCs/>
          <w:u w:val="single"/>
        </w:rPr>
        <w:t xml:space="preserve">, Kingsway Campus </w:t>
      </w:r>
      <w:r w:rsidRPr="00D469BE">
        <w:t>(MS Teams option available)</w:t>
      </w:r>
    </w:p>
    <w:p w14:paraId="02C8551F" w14:textId="77777777" w:rsidR="00824E78" w:rsidRDefault="00824E78" w:rsidP="00824E78">
      <w:pPr>
        <w:rPr>
          <w:sz w:val="30"/>
        </w:rPr>
      </w:pPr>
    </w:p>
    <w:p w14:paraId="2924FED6" w14:textId="43F7D952" w:rsidR="00824E78" w:rsidRPr="00295191" w:rsidRDefault="00824E78" w:rsidP="00824E78">
      <w:pPr>
        <w:pStyle w:val="Heading2"/>
        <w:spacing w:before="84"/>
        <w:rPr>
          <w:rFonts w:ascii="Arial" w:hAnsi="Arial" w:cs="Arial"/>
          <w:color w:val="auto"/>
          <w:sz w:val="22"/>
          <w:szCs w:val="22"/>
          <w:lang w:val="en-GB"/>
        </w:rPr>
      </w:pPr>
      <w:r w:rsidRPr="00295191">
        <w:rPr>
          <w:rFonts w:ascii="Arial" w:hAnsi="Arial" w:cs="Arial"/>
          <w:color w:val="auto"/>
          <w:sz w:val="22"/>
          <w:szCs w:val="22"/>
          <w:lang w:val="en-GB"/>
        </w:rPr>
        <w:t xml:space="preserve">Minute of the </w:t>
      </w:r>
      <w:r>
        <w:rPr>
          <w:rFonts w:ascii="Arial" w:hAnsi="Arial" w:cs="Arial"/>
          <w:color w:val="auto"/>
          <w:sz w:val="22"/>
          <w:szCs w:val="22"/>
          <w:lang w:val="en-GB"/>
        </w:rPr>
        <w:t xml:space="preserve">People, Culture and Wellbeing </w:t>
      </w:r>
      <w:r w:rsidRPr="00295191">
        <w:rPr>
          <w:rFonts w:ascii="Arial" w:hAnsi="Arial" w:cs="Arial"/>
          <w:color w:val="auto"/>
          <w:sz w:val="22"/>
          <w:szCs w:val="22"/>
          <w:lang w:val="en-GB"/>
        </w:rPr>
        <w:t xml:space="preserve">Committee meeting held on Thursday </w:t>
      </w:r>
      <w:r w:rsidR="009E17A6">
        <w:rPr>
          <w:rFonts w:ascii="Arial" w:hAnsi="Arial" w:cs="Arial"/>
          <w:color w:val="auto"/>
          <w:sz w:val="22"/>
          <w:szCs w:val="22"/>
          <w:lang w:val="en-GB"/>
        </w:rPr>
        <w:t>4</w:t>
      </w:r>
      <w:r w:rsidRPr="00295191">
        <w:rPr>
          <w:rFonts w:ascii="Arial" w:hAnsi="Arial" w:cs="Arial"/>
          <w:color w:val="auto"/>
          <w:sz w:val="22"/>
          <w:szCs w:val="22"/>
          <w:lang w:val="en-GB"/>
        </w:rPr>
        <w:t xml:space="preserve"> </w:t>
      </w:r>
      <w:r w:rsidR="009E17A6">
        <w:rPr>
          <w:rFonts w:ascii="Arial" w:hAnsi="Arial" w:cs="Arial"/>
          <w:color w:val="auto"/>
          <w:sz w:val="22"/>
          <w:szCs w:val="22"/>
          <w:lang w:val="en-GB"/>
        </w:rPr>
        <w:t>September</w:t>
      </w:r>
      <w:r>
        <w:rPr>
          <w:rFonts w:ascii="Arial" w:hAnsi="Arial" w:cs="Arial"/>
          <w:color w:val="auto"/>
          <w:sz w:val="22"/>
          <w:szCs w:val="22"/>
          <w:lang w:val="en-GB"/>
        </w:rPr>
        <w:t xml:space="preserve"> 2025 </w:t>
      </w:r>
      <w:r w:rsidRPr="00295191">
        <w:rPr>
          <w:rFonts w:ascii="Arial" w:hAnsi="Arial" w:cs="Arial"/>
          <w:color w:val="auto"/>
          <w:sz w:val="22"/>
          <w:szCs w:val="22"/>
          <w:lang w:val="en-GB"/>
        </w:rPr>
        <w:t xml:space="preserve">at 5.00pm, in Room </w:t>
      </w:r>
      <w:r>
        <w:rPr>
          <w:rFonts w:ascii="Arial" w:hAnsi="Arial" w:cs="Arial"/>
          <w:color w:val="auto"/>
          <w:sz w:val="22"/>
          <w:szCs w:val="22"/>
          <w:lang w:val="en-GB"/>
        </w:rPr>
        <w:t>K-TO-</w:t>
      </w:r>
      <w:r w:rsidRPr="00295191">
        <w:rPr>
          <w:rFonts w:ascii="Arial" w:hAnsi="Arial" w:cs="Arial"/>
          <w:color w:val="auto"/>
          <w:sz w:val="22"/>
          <w:szCs w:val="22"/>
          <w:lang w:val="en-GB"/>
        </w:rPr>
        <w:t>62</w:t>
      </w:r>
      <w:r>
        <w:rPr>
          <w:rFonts w:ascii="Arial" w:hAnsi="Arial" w:cs="Arial"/>
          <w:color w:val="auto"/>
          <w:sz w:val="22"/>
          <w:szCs w:val="22"/>
          <w:lang w:val="en-GB"/>
        </w:rPr>
        <w:t>4</w:t>
      </w:r>
      <w:r w:rsidRPr="00295191">
        <w:rPr>
          <w:rFonts w:ascii="Arial" w:hAnsi="Arial" w:cs="Arial"/>
          <w:color w:val="auto"/>
          <w:sz w:val="22"/>
          <w:szCs w:val="22"/>
          <w:lang w:val="en-GB"/>
        </w:rPr>
        <w:t xml:space="preserve">, Kingsway Campus. </w:t>
      </w:r>
    </w:p>
    <w:p w14:paraId="0B512DD7" w14:textId="77777777" w:rsidR="00824E78" w:rsidRPr="00D43501" w:rsidRDefault="00824E78" w:rsidP="00824E78">
      <w:pPr>
        <w:pStyle w:val="BodyText"/>
        <w:rPr>
          <w:b/>
          <w:sz w:val="20"/>
          <w:lang w:val="en-GB"/>
        </w:rPr>
      </w:pPr>
    </w:p>
    <w:tbl>
      <w:tblPr>
        <w:tblW w:w="9923" w:type="dxa"/>
        <w:tblLayout w:type="fixed"/>
        <w:tblCellMar>
          <w:left w:w="0" w:type="dxa"/>
          <w:right w:w="0" w:type="dxa"/>
        </w:tblCellMar>
        <w:tblLook w:val="01E0" w:firstRow="1" w:lastRow="1" w:firstColumn="1" w:lastColumn="1" w:noHBand="0" w:noVBand="0"/>
      </w:tblPr>
      <w:tblGrid>
        <w:gridCol w:w="1985"/>
        <w:gridCol w:w="3402"/>
        <w:gridCol w:w="4536"/>
      </w:tblGrid>
      <w:tr w:rsidR="00824E78" w:rsidRPr="00D43501" w14:paraId="3246ABE5" w14:textId="77777777" w:rsidTr="00923852">
        <w:trPr>
          <w:trHeight w:val="113"/>
        </w:trPr>
        <w:tc>
          <w:tcPr>
            <w:tcW w:w="1985" w:type="dxa"/>
          </w:tcPr>
          <w:p w14:paraId="44583944" w14:textId="77777777" w:rsidR="00824E78" w:rsidRPr="00FE60E7" w:rsidRDefault="00824E78" w:rsidP="00923852">
            <w:pPr>
              <w:pStyle w:val="TableParagraph"/>
              <w:spacing w:after="40" w:line="233" w:lineRule="exact"/>
              <w:rPr>
                <w:b/>
                <w:lang w:val="en-GB"/>
              </w:rPr>
            </w:pPr>
            <w:r w:rsidRPr="00FE60E7">
              <w:rPr>
                <w:b/>
                <w:lang w:val="en-GB"/>
              </w:rPr>
              <w:t>PRESENT:</w:t>
            </w:r>
          </w:p>
        </w:tc>
        <w:tc>
          <w:tcPr>
            <w:tcW w:w="3402" w:type="dxa"/>
          </w:tcPr>
          <w:p w14:paraId="0799CD55" w14:textId="77777777" w:rsidR="00824E78" w:rsidRPr="00D16D85" w:rsidRDefault="00824E78" w:rsidP="00923852">
            <w:pPr>
              <w:pStyle w:val="TableParagraph"/>
              <w:spacing w:after="40" w:line="233" w:lineRule="exact"/>
              <w:rPr>
                <w:lang w:val="en-GB"/>
              </w:rPr>
            </w:pPr>
            <w:r w:rsidRPr="00D16D85">
              <w:rPr>
                <w:lang w:val="en-GB"/>
              </w:rPr>
              <w:t>Donald Mackenzie</w:t>
            </w:r>
          </w:p>
        </w:tc>
        <w:tc>
          <w:tcPr>
            <w:tcW w:w="4536" w:type="dxa"/>
          </w:tcPr>
          <w:p w14:paraId="3266F160" w14:textId="72EE3814" w:rsidR="00824E78" w:rsidRPr="00D16D85" w:rsidRDefault="00AF2765" w:rsidP="00923852">
            <w:pPr>
              <w:pStyle w:val="TableParagraph"/>
              <w:spacing w:after="40"/>
              <w:jc w:val="both"/>
              <w:rPr>
                <w:lang w:val="en-GB"/>
              </w:rPr>
            </w:pPr>
            <w:r w:rsidRPr="00D16D85">
              <w:rPr>
                <w:lang w:val="en-GB"/>
              </w:rPr>
              <w:t>Brian Mooney</w:t>
            </w:r>
          </w:p>
        </w:tc>
      </w:tr>
      <w:tr w:rsidR="00824E78" w:rsidRPr="00D43501" w14:paraId="1398C93E" w14:textId="77777777" w:rsidTr="00923852">
        <w:trPr>
          <w:trHeight w:val="113"/>
        </w:trPr>
        <w:tc>
          <w:tcPr>
            <w:tcW w:w="1985" w:type="dxa"/>
          </w:tcPr>
          <w:p w14:paraId="5C3D369F" w14:textId="77777777" w:rsidR="00824E78" w:rsidRPr="00D43501" w:rsidRDefault="00824E78" w:rsidP="00923852">
            <w:pPr>
              <w:pStyle w:val="TableParagraph"/>
              <w:spacing w:after="40"/>
              <w:rPr>
                <w:rFonts w:ascii="Times New Roman"/>
                <w:sz w:val="18"/>
                <w:lang w:val="en-GB"/>
              </w:rPr>
            </w:pPr>
          </w:p>
        </w:tc>
        <w:tc>
          <w:tcPr>
            <w:tcW w:w="3402" w:type="dxa"/>
          </w:tcPr>
          <w:p w14:paraId="33656813" w14:textId="77777777" w:rsidR="00824E78" w:rsidRPr="001C7A8D" w:rsidRDefault="00824E78" w:rsidP="00923852">
            <w:pPr>
              <w:pStyle w:val="TableParagraph"/>
              <w:spacing w:after="40" w:line="233" w:lineRule="exact"/>
              <w:rPr>
                <w:lang w:val="en-GB"/>
              </w:rPr>
            </w:pPr>
            <w:r w:rsidRPr="001C7A8D">
              <w:rPr>
                <w:lang w:val="en-GB"/>
              </w:rPr>
              <w:t>Brian Lawrie</w:t>
            </w:r>
          </w:p>
        </w:tc>
        <w:tc>
          <w:tcPr>
            <w:tcW w:w="4536" w:type="dxa"/>
          </w:tcPr>
          <w:p w14:paraId="54567379" w14:textId="627167C5" w:rsidR="00824E78" w:rsidRPr="00F24F31" w:rsidRDefault="009E17A6" w:rsidP="00923852">
            <w:pPr>
              <w:pStyle w:val="TableParagraph"/>
              <w:spacing w:after="40"/>
              <w:jc w:val="both"/>
              <w:rPr>
                <w:color w:val="000000" w:themeColor="text1"/>
                <w:lang w:val="en-GB"/>
              </w:rPr>
            </w:pPr>
            <w:r w:rsidRPr="00F870E5">
              <w:rPr>
                <w:lang w:val="en-GB"/>
              </w:rPr>
              <w:t>Robert Young</w:t>
            </w:r>
          </w:p>
        </w:tc>
      </w:tr>
      <w:tr w:rsidR="00824E78" w:rsidRPr="00D43501" w14:paraId="2FF3C4FB" w14:textId="77777777" w:rsidTr="00923852">
        <w:trPr>
          <w:trHeight w:val="113"/>
        </w:trPr>
        <w:tc>
          <w:tcPr>
            <w:tcW w:w="1985" w:type="dxa"/>
          </w:tcPr>
          <w:p w14:paraId="676D12A8" w14:textId="77777777" w:rsidR="00824E78" w:rsidRPr="00D43501" w:rsidRDefault="00824E78" w:rsidP="00923852">
            <w:pPr>
              <w:pStyle w:val="TableParagraph"/>
              <w:spacing w:after="40"/>
              <w:rPr>
                <w:rFonts w:ascii="Times New Roman"/>
                <w:sz w:val="18"/>
                <w:lang w:val="en-GB"/>
              </w:rPr>
            </w:pPr>
          </w:p>
        </w:tc>
        <w:tc>
          <w:tcPr>
            <w:tcW w:w="3402" w:type="dxa"/>
          </w:tcPr>
          <w:p w14:paraId="5E71ADA4" w14:textId="5397BFE9" w:rsidR="009E17A6" w:rsidRPr="00AF2765" w:rsidRDefault="00824E78" w:rsidP="000537A5">
            <w:pPr>
              <w:pStyle w:val="TableParagraph"/>
              <w:spacing w:after="40" w:line="233" w:lineRule="exact"/>
              <w:rPr>
                <w:color w:val="FF0000"/>
                <w:lang w:val="en-GB"/>
              </w:rPr>
            </w:pPr>
            <w:r w:rsidRPr="001454C5">
              <w:rPr>
                <w:lang w:val="en-GB"/>
              </w:rPr>
              <w:t xml:space="preserve">Carri Cusick </w:t>
            </w:r>
          </w:p>
        </w:tc>
        <w:tc>
          <w:tcPr>
            <w:tcW w:w="4536" w:type="dxa"/>
          </w:tcPr>
          <w:p w14:paraId="4A1F5B06" w14:textId="052C4B55" w:rsidR="009E17A6" w:rsidRPr="00A5052D" w:rsidRDefault="009E17A6" w:rsidP="000537A5">
            <w:pPr>
              <w:pStyle w:val="TableParagraph"/>
              <w:spacing w:after="40"/>
              <w:jc w:val="both"/>
              <w:rPr>
                <w:color w:val="FF0000"/>
                <w:lang w:val="en-GB"/>
              </w:rPr>
            </w:pPr>
            <w:r w:rsidRPr="007D0C25">
              <w:rPr>
                <w:lang w:val="en-GB"/>
              </w:rPr>
              <w:t>Neil Lowden</w:t>
            </w:r>
          </w:p>
        </w:tc>
      </w:tr>
      <w:tr w:rsidR="00D363A3" w:rsidRPr="00D43501" w14:paraId="28DB26CC" w14:textId="77777777" w:rsidTr="00923852">
        <w:trPr>
          <w:trHeight w:val="113"/>
        </w:trPr>
        <w:tc>
          <w:tcPr>
            <w:tcW w:w="1985" w:type="dxa"/>
          </w:tcPr>
          <w:p w14:paraId="170EF173" w14:textId="77777777" w:rsidR="00D363A3" w:rsidRPr="00D43501" w:rsidRDefault="00D363A3" w:rsidP="00923852">
            <w:pPr>
              <w:pStyle w:val="TableParagraph"/>
              <w:spacing w:after="40"/>
              <w:rPr>
                <w:rFonts w:ascii="Times New Roman"/>
                <w:sz w:val="18"/>
                <w:lang w:val="en-GB"/>
              </w:rPr>
            </w:pPr>
          </w:p>
        </w:tc>
        <w:tc>
          <w:tcPr>
            <w:tcW w:w="3402" w:type="dxa"/>
          </w:tcPr>
          <w:p w14:paraId="335193A2" w14:textId="4B3FEA5E" w:rsidR="00D363A3" w:rsidRPr="001454C5" w:rsidRDefault="000537A5" w:rsidP="00923852">
            <w:pPr>
              <w:pStyle w:val="TableParagraph"/>
              <w:spacing w:after="40" w:line="233" w:lineRule="exact"/>
              <w:rPr>
                <w:lang w:val="en-GB"/>
              </w:rPr>
            </w:pPr>
            <w:r>
              <w:rPr>
                <w:lang w:val="en-GB"/>
              </w:rPr>
              <w:t>Simon Hewitt</w:t>
            </w:r>
          </w:p>
        </w:tc>
        <w:tc>
          <w:tcPr>
            <w:tcW w:w="4536" w:type="dxa"/>
          </w:tcPr>
          <w:p w14:paraId="5B9972EF" w14:textId="58B04C19" w:rsidR="00D363A3" w:rsidRPr="007D0C25" w:rsidRDefault="000537A5" w:rsidP="00923852">
            <w:pPr>
              <w:pStyle w:val="TableParagraph"/>
              <w:spacing w:after="40"/>
              <w:jc w:val="both"/>
              <w:rPr>
                <w:lang w:val="en-GB"/>
              </w:rPr>
            </w:pPr>
            <w:r>
              <w:rPr>
                <w:lang w:val="en-GB"/>
              </w:rPr>
              <w:t>Stephen Oakley</w:t>
            </w:r>
          </w:p>
        </w:tc>
      </w:tr>
    </w:tbl>
    <w:p w14:paraId="35D895D2" w14:textId="77777777" w:rsidR="00824E78" w:rsidRDefault="00824E78" w:rsidP="00824E78">
      <w:pPr>
        <w:pStyle w:val="BodyText"/>
        <w:rPr>
          <w:b/>
          <w:sz w:val="24"/>
          <w:lang w:val="en-GB"/>
        </w:rPr>
      </w:pPr>
    </w:p>
    <w:tbl>
      <w:tblPr>
        <w:tblW w:w="9923" w:type="dxa"/>
        <w:tblLayout w:type="fixed"/>
        <w:tblCellMar>
          <w:left w:w="0" w:type="dxa"/>
          <w:right w:w="0" w:type="dxa"/>
        </w:tblCellMar>
        <w:tblLook w:val="01E0" w:firstRow="1" w:lastRow="1" w:firstColumn="1" w:lastColumn="1" w:noHBand="0" w:noVBand="0"/>
      </w:tblPr>
      <w:tblGrid>
        <w:gridCol w:w="1985"/>
        <w:gridCol w:w="7938"/>
      </w:tblGrid>
      <w:tr w:rsidR="00824E78" w:rsidRPr="00D43501" w14:paraId="419A9956" w14:textId="77777777" w:rsidTr="00923852">
        <w:trPr>
          <w:trHeight w:val="185"/>
        </w:trPr>
        <w:tc>
          <w:tcPr>
            <w:tcW w:w="1985" w:type="dxa"/>
          </w:tcPr>
          <w:p w14:paraId="50F85B73" w14:textId="77777777" w:rsidR="00824E78" w:rsidRPr="00D43501" w:rsidRDefault="00824E78" w:rsidP="00923852">
            <w:pPr>
              <w:pStyle w:val="TableParagraph"/>
              <w:spacing w:after="60" w:line="233" w:lineRule="exact"/>
              <w:rPr>
                <w:b/>
                <w:lang w:val="en-GB"/>
              </w:rPr>
            </w:pPr>
            <w:r w:rsidRPr="00D43501">
              <w:rPr>
                <w:b/>
                <w:lang w:val="en-GB"/>
              </w:rPr>
              <w:t>IN ATTENDANCE:</w:t>
            </w:r>
          </w:p>
        </w:tc>
        <w:tc>
          <w:tcPr>
            <w:tcW w:w="7938" w:type="dxa"/>
          </w:tcPr>
          <w:p w14:paraId="62D93386" w14:textId="77777777" w:rsidR="00824E78" w:rsidRPr="009E17A6" w:rsidRDefault="00824E78" w:rsidP="00923852">
            <w:pPr>
              <w:pStyle w:val="TableParagraph"/>
              <w:spacing w:after="60" w:line="233" w:lineRule="exact"/>
              <w:rPr>
                <w:color w:val="FF0000"/>
              </w:rPr>
            </w:pPr>
            <w:r w:rsidRPr="001454C5">
              <w:rPr>
                <w:lang w:val="en-GB"/>
              </w:rPr>
              <w:t>Steven Taylor (</w:t>
            </w:r>
            <w:r w:rsidRPr="001454C5">
              <w:t>Vice Principal Support Services and Operations)</w:t>
            </w:r>
          </w:p>
        </w:tc>
      </w:tr>
      <w:tr w:rsidR="00824E78" w:rsidRPr="00D43501" w14:paraId="0B1E3020" w14:textId="77777777" w:rsidTr="00923852">
        <w:trPr>
          <w:trHeight w:val="250"/>
        </w:trPr>
        <w:tc>
          <w:tcPr>
            <w:tcW w:w="1985" w:type="dxa"/>
          </w:tcPr>
          <w:p w14:paraId="62F9432B" w14:textId="77777777" w:rsidR="00824E78" w:rsidRPr="00D43501" w:rsidRDefault="00824E78" w:rsidP="00923852">
            <w:pPr>
              <w:pStyle w:val="TableParagraph"/>
              <w:spacing w:after="60"/>
              <w:rPr>
                <w:rFonts w:ascii="Times New Roman"/>
                <w:sz w:val="18"/>
                <w:lang w:val="en-GB"/>
              </w:rPr>
            </w:pPr>
          </w:p>
        </w:tc>
        <w:tc>
          <w:tcPr>
            <w:tcW w:w="7938" w:type="dxa"/>
          </w:tcPr>
          <w:p w14:paraId="0F92BB0A" w14:textId="173AF9E0" w:rsidR="00824E78" w:rsidRPr="00423D22" w:rsidRDefault="009E17A6" w:rsidP="00923852">
            <w:pPr>
              <w:pStyle w:val="TableParagraph"/>
              <w:spacing w:after="60" w:line="233" w:lineRule="exact"/>
              <w:rPr>
                <w:lang w:val="en-GB"/>
              </w:rPr>
            </w:pPr>
            <w:r w:rsidRPr="00423D22">
              <w:rPr>
                <w:lang w:val="en-GB"/>
              </w:rPr>
              <w:t>Sandy Fowler (Health and Safety Officer)</w:t>
            </w:r>
          </w:p>
        </w:tc>
      </w:tr>
      <w:tr w:rsidR="00824E78" w:rsidRPr="00D43501" w14:paraId="6E3C5C10" w14:textId="77777777" w:rsidTr="00923852">
        <w:trPr>
          <w:trHeight w:val="250"/>
        </w:trPr>
        <w:tc>
          <w:tcPr>
            <w:tcW w:w="1985" w:type="dxa"/>
          </w:tcPr>
          <w:p w14:paraId="2028E5A9" w14:textId="77777777" w:rsidR="00824E78" w:rsidRPr="00D43501" w:rsidRDefault="00824E78" w:rsidP="00923852">
            <w:pPr>
              <w:pStyle w:val="TableParagraph"/>
              <w:spacing w:after="60"/>
              <w:rPr>
                <w:rFonts w:ascii="Times New Roman"/>
                <w:sz w:val="18"/>
                <w:lang w:val="en-GB"/>
              </w:rPr>
            </w:pPr>
          </w:p>
        </w:tc>
        <w:tc>
          <w:tcPr>
            <w:tcW w:w="7938" w:type="dxa"/>
          </w:tcPr>
          <w:p w14:paraId="5BFF5A69" w14:textId="77777777" w:rsidR="00824E78" w:rsidRPr="009E17A6" w:rsidRDefault="00824E78" w:rsidP="00923852">
            <w:pPr>
              <w:pStyle w:val="TableParagraph"/>
              <w:spacing w:after="60" w:line="276" w:lineRule="auto"/>
              <w:rPr>
                <w:color w:val="FF0000"/>
                <w:lang w:val="en-GB"/>
              </w:rPr>
            </w:pPr>
            <w:r w:rsidRPr="000E2E50">
              <w:rPr>
                <w:lang w:val="en-GB"/>
              </w:rPr>
              <w:t>Penny Muir (Board Administrator)</w:t>
            </w:r>
          </w:p>
        </w:tc>
      </w:tr>
      <w:tr w:rsidR="00824E78" w:rsidRPr="00CB76B6" w14:paraId="2E35399B" w14:textId="77777777" w:rsidTr="00923852">
        <w:trPr>
          <w:trHeight w:val="250"/>
        </w:trPr>
        <w:tc>
          <w:tcPr>
            <w:tcW w:w="1985" w:type="dxa"/>
          </w:tcPr>
          <w:p w14:paraId="1CA4BD90" w14:textId="77777777" w:rsidR="00824E78" w:rsidRPr="00CB76B6" w:rsidRDefault="00824E78" w:rsidP="00923852">
            <w:pPr>
              <w:pStyle w:val="TableParagraph"/>
              <w:spacing w:after="60"/>
              <w:rPr>
                <w:rFonts w:ascii="Times New Roman"/>
                <w:color w:val="000000" w:themeColor="text1"/>
                <w:sz w:val="18"/>
                <w:lang w:val="en-GB"/>
              </w:rPr>
            </w:pPr>
          </w:p>
        </w:tc>
        <w:tc>
          <w:tcPr>
            <w:tcW w:w="7938" w:type="dxa"/>
          </w:tcPr>
          <w:p w14:paraId="7708F894" w14:textId="77777777" w:rsidR="00824E78" w:rsidRPr="00CB76B6" w:rsidRDefault="00824E78" w:rsidP="00923852">
            <w:pPr>
              <w:pStyle w:val="TableParagraph"/>
              <w:spacing w:after="60" w:line="233" w:lineRule="exact"/>
              <w:rPr>
                <w:color w:val="000000" w:themeColor="text1"/>
                <w:lang w:val="en-GB"/>
              </w:rPr>
            </w:pPr>
            <w:r w:rsidRPr="007D0C25">
              <w:rPr>
                <w:lang w:val="en-GB"/>
              </w:rPr>
              <w:t>Abi Mawhirt (Head of People and Organisation Development)</w:t>
            </w:r>
          </w:p>
        </w:tc>
      </w:tr>
    </w:tbl>
    <w:p w14:paraId="4AEFC241" w14:textId="77777777" w:rsidR="00824E78" w:rsidRPr="00CB76B6" w:rsidRDefault="00824E78" w:rsidP="00824E78">
      <w:pPr>
        <w:rPr>
          <w:b/>
          <w:color w:val="000000" w:themeColor="text1"/>
        </w:rPr>
      </w:pPr>
    </w:p>
    <w:p w14:paraId="59929C21" w14:textId="77777777" w:rsidR="00824E78" w:rsidRDefault="00824E78" w:rsidP="00824E78">
      <w:pPr>
        <w:spacing w:before="7"/>
        <w:rPr>
          <w:b/>
        </w:rPr>
      </w:pPr>
    </w:p>
    <w:tbl>
      <w:tblPr>
        <w:tblW w:w="9923" w:type="dxa"/>
        <w:tblLayout w:type="fixed"/>
        <w:tblCellMar>
          <w:left w:w="0" w:type="dxa"/>
          <w:right w:w="0" w:type="dxa"/>
        </w:tblCellMar>
        <w:tblLook w:val="01E0" w:firstRow="1" w:lastRow="1" w:firstColumn="1" w:lastColumn="1" w:noHBand="0" w:noVBand="0"/>
      </w:tblPr>
      <w:tblGrid>
        <w:gridCol w:w="567"/>
        <w:gridCol w:w="9356"/>
      </w:tblGrid>
      <w:tr w:rsidR="006E01FF" w:rsidRPr="00D76C33" w14:paraId="0EA0B6EB" w14:textId="77777777" w:rsidTr="006E01FF">
        <w:trPr>
          <w:trHeight w:val="376"/>
        </w:trPr>
        <w:tc>
          <w:tcPr>
            <w:tcW w:w="567" w:type="dxa"/>
          </w:tcPr>
          <w:p w14:paraId="687C7F51" w14:textId="77777777" w:rsidR="006E01FF" w:rsidRPr="00D76C33" w:rsidRDefault="006E01FF" w:rsidP="00824E78">
            <w:pPr>
              <w:pStyle w:val="TableParagraph"/>
              <w:numPr>
                <w:ilvl w:val="0"/>
                <w:numId w:val="1"/>
              </w:numPr>
              <w:ind w:left="0" w:firstLine="0"/>
              <w:jc w:val="center"/>
              <w:rPr>
                <w:b/>
              </w:rPr>
            </w:pPr>
          </w:p>
        </w:tc>
        <w:tc>
          <w:tcPr>
            <w:tcW w:w="9356" w:type="dxa"/>
          </w:tcPr>
          <w:p w14:paraId="0B2D44C2" w14:textId="77777777" w:rsidR="006E01FF" w:rsidRDefault="006E01FF" w:rsidP="00923852">
            <w:pPr>
              <w:pStyle w:val="TableParagraph"/>
              <w:rPr>
                <w:b/>
              </w:rPr>
            </w:pPr>
            <w:r w:rsidRPr="00D76C33">
              <w:rPr>
                <w:b/>
              </w:rPr>
              <w:t>WELCOME</w:t>
            </w:r>
          </w:p>
          <w:p w14:paraId="02178DDC" w14:textId="77777777" w:rsidR="006E01FF" w:rsidRDefault="006E01FF" w:rsidP="00923852">
            <w:pPr>
              <w:pStyle w:val="TableParagraph"/>
              <w:rPr>
                <w:b/>
              </w:rPr>
            </w:pPr>
          </w:p>
          <w:p w14:paraId="4A0DA957" w14:textId="26380C45" w:rsidR="006E01FF" w:rsidRPr="00824E78" w:rsidRDefault="006E01FF" w:rsidP="00923852">
            <w:pPr>
              <w:pStyle w:val="TableParagraph"/>
              <w:rPr>
                <w:bCs/>
                <w:lang w:val="en-GB"/>
              </w:rPr>
            </w:pPr>
            <w:r w:rsidRPr="003438D1">
              <w:rPr>
                <w:bCs/>
                <w:lang w:val="en-GB"/>
              </w:rPr>
              <w:t xml:space="preserve">D Mackenzie welcomed everyone to the </w:t>
            </w:r>
            <w:r>
              <w:rPr>
                <w:bCs/>
                <w:lang w:val="en-GB"/>
              </w:rPr>
              <w:t>People, Culture and Wellbeing</w:t>
            </w:r>
            <w:r w:rsidRPr="003438D1">
              <w:rPr>
                <w:bCs/>
                <w:lang w:val="en-GB"/>
              </w:rPr>
              <w:t xml:space="preserve"> Committee meeting</w:t>
            </w:r>
            <w:r>
              <w:rPr>
                <w:bCs/>
                <w:lang w:val="en-GB"/>
              </w:rPr>
              <w:t xml:space="preserve"> and welcomed Brian Mooney to his first meeting</w:t>
            </w:r>
            <w:r w:rsidRPr="003438D1">
              <w:rPr>
                <w:bCs/>
                <w:lang w:val="en-GB"/>
              </w:rPr>
              <w:t>.</w:t>
            </w:r>
          </w:p>
          <w:p w14:paraId="62B38364" w14:textId="77777777" w:rsidR="006E01FF" w:rsidRPr="00D76C33" w:rsidRDefault="006E01FF" w:rsidP="00923852">
            <w:pPr>
              <w:pStyle w:val="TableParagraph"/>
              <w:rPr>
                <w:b/>
              </w:rPr>
            </w:pPr>
          </w:p>
        </w:tc>
      </w:tr>
      <w:tr w:rsidR="006E01FF" w:rsidRPr="00D76C33" w14:paraId="5F5D7168" w14:textId="77777777" w:rsidTr="006E01FF">
        <w:trPr>
          <w:trHeight w:val="506"/>
        </w:trPr>
        <w:tc>
          <w:tcPr>
            <w:tcW w:w="567" w:type="dxa"/>
          </w:tcPr>
          <w:p w14:paraId="46960B65" w14:textId="77777777" w:rsidR="006E01FF" w:rsidRPr="00D76C33" w:rsidRDefault="006E01FF" w:rsidP="00824E78">
            <w:pPr>
              <w:pStyle w:val="TableParagraph"/>
              <w:numPr>
                <w:ilvl w:val="0"/>
                <w:numId w:val="1"/>
              </w:numPr>
              <w:ind w:left="0" w:firstLine="0"/>
              <w:jc w:val="center"/>
              <w:rPr>
                <w:b/>
              </w:rPr>
            </w:pPr>
          </w:p>
        </w:tc>
        <w:tc>
          <w:tcPr>
            <w:tcW w:w="9356" w:type="dxa"/>
          </w:tcPr>
          <w:p w14:paraId="1A4EEAC4" w14:textId="77777777" w:rsidR="006E01FF" w:rsidRDefault="006E01FF" w:rsidP="00923852">
            <w:pPr>
              <w:pStyle w:val="TableParagraph"/>
              <w:rPr>
                <w:b/>
              </w:rPr>
            </w:pPr>
            <w:r w:rsidRPr="00D76C33">
              <w:rPr>
                <w:b/>
              </w:rPr>
              <w:t>APOLOGIES</w:t>
            </w:r>
          </w:p>
          <w:p w14:paraId="38B0AA6F" w14:textId="77777777" w:rsidR="006E01FF" w:rsidRDefault="006E01FF" w:rsidP="00923852">
            <w:pPr>
              <w:pStyle w:val="TableParagraph"/>
              <w:rPr>
                <w:b/>
              </w:rPr>
            </w:pPr>
          </w:p>
          <w:p w14:paraId="6B187F4C" w14:textId="77777777" w:rsidR="006E01FF" w:rsidRDefault="006E01FF" w:rsidP="006E01FF">
            <w:pPr>
              <w:pStyle w:val="TableParagraph"/>
              <w:rPr>
                <w:bCs/>
                <w:lang w:val="en-GB"/>
              </w:rPr>
            </w:pPr>
            <w:r w:rsidRPr="003438D1">
              <w:rPr>
                <w:bCs/>
                <w:lang w:val="en-GB"/>
              </w:rPr>
              <w:t>Apologies received from</w:t>
            </w:r>
            <w:r>
              <w:rPr>
                <w:bCs/>
                <w:lang w:val="en-GB"/>
              </w:rPr>
              <w:t xml:space="preserve"> Billy Grace, Julie Grace and Richard Gordon.</w:t>
            </w:r>
          </w:p>
          <w:p w14:paraId="053FFA1C" w14:textId="66DA377D" w:rsidR="006E01FF" w:rsidRPr="00D76C33" w:rsidRDefault="006E01FF" w:rsidP="006E01FF">
            <w:pPr>
              <w:pStyle w:val="TableParagraph"/>
              <w:rPr>
                <w:b/>
              </w:rPr>
            </w:pPr>
          </w:p>
        </w:tc>
      </w:tr>
      <w:tr w:rsidR="006E01FF" w:rsidRPr="00D76C33" w14:paraId="45C7ED14" w14:textId="77777777" w:rsidTr="006E01FF">
        <w:trPr>
          <w:trHeight w:val="705"/>
        </w:trPr>
        <w:tc>
          <w:tcPr>
            <w:tcW w:w="567" w:type="dxa"/>
          </w:tcPr>
          <w:p w14:paraId="1ED47BB9" w14:textId="77777777" w:rsidR="006E01FF" w:rsidRPr="00D76C33" w:rsidRDefault="006E01FF" w:rsidP="00824E78">
            <w:pPr>
              <w:pStyle w:val="TableParagraph"/>
              <w:numPr>
                <w:ilvl w:val="0"/>
                <w:numId w:val="1"/>
              </w:numPr>
              <w:ind w:left="0" w:firstLine="0"/>
              <w:jc w:val="center"/>
              <w:rPr>
                <w:b/>
              </w:rPr>
            </w:pPr>
          </w:p>
        </w:tc>
        <w:tc>
          <w:tcPr>
            <w:tcW w:w="9356" w:type="dxa"/>
          </w:tcPr>
          <w:p w14:paraId="1DEA66AF" w14:textId="77777777" w:rsidR="006E01FF" w:rsidRDefault="006E01FF" w:rsidP="00923852">
            <w:pPr>
              <w:pStyle w:val="TableParagraph"/>
              <w:rPr>
                <w:b/>
              </w:rPr>
            </w:pPr>
            <w:r w:rsidRPr="00D76C33">
              <w:rPr>
                <w:b/>
              </w:rPr>
              <w:t>DECLARATIONS OF CONNECTION &amp; INTEREST</w:t>
            </w:r>
          </w:p>
          <w:p w14:paraId="1DD9805A" w14:textId="77777777" w:rsidR="006E01FF" w:rsidRDefault="006E01FF" w:rsidP="00923852">
            <w:pPr>
              <w:pStyle w:val="TableParagraph"/>
              <w:rPr>
                <w:b/>
              </w:rPr>
            </w:pPr>
          </w:p>
          <w:p w14:paraId="7ADBD7CB" w14:textId="77777777" w:rsidR="006E01FF" w:rsidRDefault="006E01FF" w:rsidP="00923852">
            <w:pPr>
              <w:pStyle w:val="TableParagraph"/>
              <w:rPr>
                <w:bCs/>
                <w:lang w:val="en-GB"/>
              </w:rPr>
            </w:pPr>
            <w:r w:rsidRPr="003438D1">
              <w:rPr>
                <w:bCs/>
                <w:lang w:val="en-GB"/>
              </w:rPr>
              <w:t>There were no declarations of connection &amp; interes</w:t>
            </w:r>
            <w:r>
              <w:rPr>
                <w:bCs/>
                <w:lang w:val="en-GB"/>
              </w:rPr>
              <w:t>t.</w:t>
            </w:r>
          </w:p>
          <w:p w14:paraId="589B32FC" w14:textId="00439CA3" w:rsidR="006E01FF" w:rsidRPr="00824E78" w:rsidRDefault="006E01FF" w:rsidP="00923852">
            <w:pPr>
              <w:pStyle w:val="TableParagraph"/>
              <w:rPr>
                <w:bCs/>
                <w:lang w:val="en-GB"/>
              </w:rPr>
            </w:pPr>
          </w:p>
        </w:tc>
      </w:tr>
      <w:tr w:rsidR="006E01FF" w:rsidRPr="00D76C33" w14:paraId="7745E37A" w14:textId="77777777" w:rsidTr="006E01FF">
        <w:trPr>
          <w:trHeight w:val="848"/>
        </w:trPr>
        <w:tc>
          <w:tcPr>
            <w:tcW w:w="567" w:type="dxa"/>
          </w:tcPr>
          <w:p w14:paraId="21DEF567" w14:textId="77777777" w:rsidR="006E01FF" w:rsidRPr="00D76C33" w:rsidRDefault="006E01FF" w:rsidP="00824E78">
            <w:pPr>
              <w:pStyle w:val="TableParagraph"/>
              <w:numPr>
                <w:ilvl w:val="0"/>
                <w:numId w:val="1"/>
              </w:numPr>
              <w:ind w:left="0" w:firstLine="0"/>
              <w:jc w:val="center"/>
              <w:rPr>
                <w:b/>
              </w:rPr>
            </w:pPr>
          </w:p>
        </w:tc>
        <w:tc>
          <w:tcPr>
            <w:tcW w:w="9356" w:type="dxa"/>
          </w:tcPr>
          <w:p w14:paraId="34718FEC" w14:textId="02FD8C7A" w:rsidR="006E01FF" w:rsidRDefault="006E01FF" w:rsidP="00923852">
            <w:pPr>
              <w:pStyle w:val="TableParagraph"/>
            </w:pPr>
            <w:r w:rsidRPr="00D76C33">
              <w:rPr>
                <w:b/>
              </w:rPr>
              <w:t>MINUTE OF THE PREVIOUS MEETING</w:t>
            </w:r>
            <w:r>
              <w:t xml:space="preserve"> </w:t>
            </w:r>
          </w:p>
          <w:p w14:paraId="59CF0C97" w14:textId="77777777" w:rsidR="006E01FF" w:rsidRDefault="006E01FF" w:rsidP="00923852">
            <w:pPr>
              <w:pStyle w:val="TableParagraph"/>
            </w:pPr>
          </w:p>
          <w:p w14:paraId="05A3521E" w14:textId="790FAFD2" w:rsidR="006E01FF" w:rsidRDefault="006E01FF" w:rsidP="00923852">
            <w:pPr>
              <w:pStyle w:val="TableParagraph"/>
            </w:pPr>
            <w:r w:rsidRPr="003438D1">
              <w:rPr>
                <w:lang w:val="en-GB"/>
              </w:rPr>
              <w:t>The minutes of the meeting held on 2</w:t>
            </w:r>
            <w:r>
              <w:rPr>
                <w:lang w:val="en-GB"/>
              </w:rPr>
              <w:t>2</w:t>
            </w:r>
            <w:r w:rsidRPr="003438D1">
              <w:rPr>
                <w:lang w:val="en-GB"/>
              </w:rPr>
              <w:t xml:space="preserve"> </w:t>
            </w:r>
            <w:r>
              <w:rPr>
                <w:lang w:val="en-GB"/>
              </w:rPr>
              <w:t>May</w:t>
            </w:r>
            <w:r w:rsidRPr="003438D1">
              <w:rPr>
                <w:lang w:val="en-GB"/>
              </w:rPr>
              <w:t xml:space="preserve"> 2025 were approved as an accurate record</w:t>
            </w:r>
            <w:r>
              <w:rPr>
                <w:lang w:val="en-GB"/>
              </w:rPr>
              <w:t>.</w:t>
            </w:r>
          </w:p>
          <w:p w14:paraId="017941CB" w14:textId="77777777" w:rsidR="006E01FF" w:rsidRPr="00D76C33" w:rsidRDefault="006E01FF" w:rsidP="00923852">
            <w:pPr>
              <w:pStyle w:val="TableParagraph"/>
            </w:pPr>
          </w:p>
        </w:tc>
      </w:tr>
      <w:tr w:rsidR="006E01FF" w:rsidRPr="00D76C33" w14:paraId="6AE1FF17" w14:textId="77777777" w:rsidTr="006E01FF">
        <w:trPr>
          <w:trHeight w:val="505"/>
        </w:trPr>
        <w:tc>
          <w:tcPr>
            <w:tcW w:w="567" w:type="dxa"/>
          </w:tcPr>
          <w:p w14:paraId="4F34A808" w14:textId="77777777" w:rsidR="006E01FF" w:rsidRPr="00D76C33" w:rsidRDefault="006E01FF" w:rsidP="00824E78">
            <w:pPr>
              <w:pStyle w:val="TableParagraph"/>
              <w:numPr>
                <w:ilvl w:val="0"/>
                <w:numId w:val="1"/>
              </w:numPr>
              <w:ind w:left="0" w:firstLine="0"/>
              <w:jc w:val="center"/>
              <w:rPr>
                <w:b/>
              </w:rPr>
            </w:pPr>
          </w:p>
        </w:tc>
        <w:tc>
          <w:tcPr>
            <w:tcW w:w="9356" w:type="dxa"/>
          </w:tcPr>
          <w:p w14:paraId="2EC7C6D0" w14:textId="77777777" w:rsidR="006E01FF" w:rsidRDefault="006E01FF" w:rsidP="00923852">
            <w:pPr>
              <w:pStyle w:val="TableParagraph"/>
              <w:rPr>
                <w:b/>
              </w:rPr>
            </w:pPr>
            <w:r w:rsidRPr="00D76C33">
              <w:rPr>
                <w:b/>
              </w:rPr>
              <w:t>MATTERS ARISING</w:t>
            </w:r>
          </w:p>
          <w:p w14:paraId="72A481D3" w14:textId="77777777" w:rsidR="006E01FF" w:rsidRDefault="006E01FF" w:rsidP="00923852">
            <w:pPr>
              <w:pStyle w:val="TableParagraph"/>
              <w:rPr>
                <w:b/>
              </w:rPr>
            </w:pPr>
          </w:p>
          <w:p w14:paraId="530B0B1B" w14:textId="77777777" w:rsidR="006E01FF" w:rsidRDefault="006E01FF" w:rsidP="006E01FF">
            <w:pPr>
              <w:pStyle w:val="TableParagraph"/>
              <w:rPr>
                <w:lang w:val="en-GB"/>
              </w:rPr>
            </w:pPr>
            <w:r w:rsidRPr="003438D1">
              <w:rPr>
                <w:lang w:val="en-GB"/>
              </w:rPr>
              <w:t>There are no matters arising.</w:t>
            </w:r>
          </w:p>
          <w:p w14:paraId="321F21EF" w14:textId="73BA2625" w:rsidR="006E01FF" w:rsidRPr="00D76C33" w:rsidRDefault="006E01FF" w:rsidP="006E01FF">
            <w:pPr>
              <w:pStyle w:val="TableParagraph"/>
              <w:rPr>
                <w:b/>
              </w:rPr>
            </w:pPr>
          </w:p>
        </w:tc>
      </w:tr>
      <w:tr w:rsidR="006E01FF" w:rsidRPr="00D76C33" w14:paraId="7B09A1E8" w14:textId="77777777" w:rsidTr="006E01FF">
        <w:trPr>
          <w:trHeight w:val="505"/>
        </w:trPr>
        <w:tc>
          <w:tcPr>
            <w:tcW w:w="567" w:type="dxa"/>
          </w:tcPr>
          <w:p w14:paraId="7B040871" w14:textId="77777777" w:rsidR="006E01FF" w:rsidRPr="00D76C33" w:rsidRDefault="006E01FF" w:rsidP="00824E78">
            <w:pPr>
              <w:pStyle w:val="TableParagraph"/>
              <w:numPr>
                <w:ilvl w:val="0"/>
                <w:numId w:val="1"/>
              </w:numPr>
              <w:ind w:left="0" w:firstLine="0"/>
              <w:jc w:val="center"/>
              <w:rPr>
                <w:b/>
              </w:rPr>
            </w:pPr>
          </w:p>
        </w:tc>
        <w:tc>
          <w:tcPr>
            <w:tcW w:w="9356" w:type="dxa"/>
          </w:tcPr>
          <w:p w14:paraId="443A6E0F" w14:textId="77777777" w:rsidR="006E01FF" w:rsidRDefault="006E01FF" w:rsidP="00923852">
            <w:pPr>
              <w:pStyle w:val="TableParagraph"/>
              <w:rPr>
                <w:b/>
              </w:rPr>
            </w:pPr>
            <w:r>
              <w:rPr>
                <w:b/>
              </w:rPr>
              <w:t>FINANCIAL SECURITY &amp; SAVINGS UPDATE</w:t>
            </w:r>
          </w:p>
          <w:p w14:paraId="634B4233" w14:textId="77777777" w:rsidR="006E01FF" w:rsidRDefault="006E01FF" w:rsidP="00923852">
            <w:pPr>
              <w:pStyle w:val="TableParagraph"/>
              <w:rPr>
                <w:b/>
              </w:rPr>
            </w:pPr>
          </w:p>
          <w:p w14:paraId="04648B36" w14:textId="77777777" w:rsidR="006E01FF" w:rsidRDefault="006E01FF" w:rsidP="00145D39">
            <w:pPr>
              <w:pStyle w:val="TableParagraph"/>
              <w:rPr>
                <w:bCs/>
                <w:lang w:val="en-GB"/>
              </w:rPr>
            </w:pPr>
            <w:r w:rsidRPr="00145D39">
              <w:rPr>
                <w:bCs/>
                <w:lang w:val="en-GB"/>
              </w:rPr>
              <w:t xml:space="preserve">S Hewitt reported that finances remained extremely tight and challenging, not only at Dundee and Angus College but across the sector nationally. The overall financial outlook was described as grim, with the College not immune from these pressures. </w:t>
            </w:r>
          </w:p>
          <w:p w14:paraId="68E33CD0" w14:textId="77777777" w:rsidR="006E01FF" w:rsidRDefault="006E01FF" w:rsidP="00145D39">
            <w:pPr>
              <w:pStyle w:val="TableParagraph"/>
              <w:rPr>
                <w:bCs/>
                <w:lang w:val="en-GB"/>
              </w:rPr>
            </w:pPr>
          </w:p>
          <w:p w14:paraId="389FA0CB" w14:textId="77777777" w:rsidR="000939AB" w:rsidRDefault="006E01FF" w:rsidP="00145D39">
            <w:pPr>
              <w:pStyle w:val="TableParagraph"/>
              <w:rPr>
                <w:bCs/>
                <w:lang w:val="en-GB"/>
              </w:rPr>
            </w:pPr>
            <w:r w:rsidRPr="00145D39">
              <w:rPr>
                <w:bCs/>
                <w:lang w:val="en-GB"/>
              </w:rPr>
              <w:t xml:space="preserve">Action taken previously had created some short-term breathing space, but pressures such as pay increases and unfunded national insurance rises were beginning to </w:t>
            </w:r>
            <w:r w:rsidR="000939AB">
              <w:rPr>
                <w:bCs/>
                <w:lang w:val="en-GB"/>
              </w:rPr>
              <w:t xml:space="preserve">put significant </w:t>
            </w:r>
            <w:r w:rsidRPr="00145D39">
              <w:rPr>
                <w:bCs/>
                <w:lang w:val="en-GB"/>
              </w:rPr>
              <w:t xml:space="preserve">strain </w:t>
            </w:r>
            <w:r w:rsidR="000939AB">
              <w:rPr>
                <w:bCs/>
                <w:lang w:val="en-GB"/>
              </w:rPr>
              <w:t xml:space="preserve">on </w:t>
            </w:r>
            <w:r w:rsidRPr="00145D39">
              <w:rPr>
                <w:bCs/>
                <w:lang w:val="en-GB"/>
              </w:rPr>
              <w:t xml:space="preserve">the budget. </w:t>
            </w:r>
          </w:p>
          <w:p w14:paraId="118B9FD4" w14:textId="77777777" w:rsidR="000939AB" w:rsidRDefault="000939AB" w:rsidP="00145D39">
            <w:pPr>
              <w:pStyle w:val="TableParagraph"/>
              <w:rPr>
                <w:bCs/>
                <w:lang w:val="en-GB"/>
              </w:rPr>
            </w:pPr>
          </w:p>
          <w:p w14:paraId="0FF8C045" w14:textId="16F0C552" w:rsidR="006E01FF" w:rsidRPr="00042B86" w:rsidRDefault="006E01FF" w:rsidP="00145D39">
            <w:pPr>
              <w:pStyle w:val="TableParagraph"/>
              <w:rPr>
                <w:bCs/>
                <w:lang w:val="en-GB"/>
              </w:rPr>
            </w:pPr>
            <w:r w:rsidRPr="00145D39">
              <w:rPr>
                <w:bCs/>
                <w:lang w:val="en-GB"/>
              </w:rPr>
              <w:t xml:space="preserve">For 2025/26, the initial budget projections indicated a potential deficit of £2.3 million, largely due to a £1.3 million pay award and unfunded NI costs of nearly £0.5 million. While an uplift of 2.8% in Scottish Government funding had been confirmed, it was insufficient to offset the additional </w:t>
            </w:r>
            <w:r w:rsidR="000939AB">
              <w:rPr>
                <w:bCs/>
                <w:lang w:val="en-GB"/>
              </w:rPr>
              <w:t xml:space="preserve">cost </w:t>
            </w:r>
            <w:r w:rsidRPr="00145D39">
              <w:rPr>
                <w:bCs/>
                <w:lang w:val="en-GB"/>
              </w:rPr>
              <w:t>pressures.</w:t>
            </w:r>
          </w:p>
          <w:p w14:paraId="55656F1C" w14:textId="77777777" w:rsidR="006E01FF" w:rsidRPr="00145D39" w:rsidRDefault="006E01FF" w:rsidP="00145D39">
            <w:pPr>
              <w:pStyle w:val="TableParagraph"/>
              <w:rPr>
                <w:b/>
                <w:lang w:val="en-GB"/>
              </w:rPr>
            </w:pPr>
          </w:p>
          <w:p w14:paraId="54F4DAE0" w14:textId="380AD174" w:rsidR="006E01FF" w:rsidRPr="00C01F78" w:rsidRDefault="006E01FF" w:rsidP="00145D39">
            <w:pPr>
              <w:pStyle w:val="TableParagraph"/>
              <w:rPr>
                <w:bCs/>
                <w:lang w:val="en-GB"/>
              </w:rPr>
            </w:pPr>
            <w:r w:rsidRPr="00145D39">
              <w:rPr>
                <w:bCs/>
                <w:lang w:val="en-GB"/>
              </w:rPr>
              <w:t xml:space="preserve">Recruitment performance was reported as positive overall, but growth had occurred in the </w:t>
            </w:r>
            <w:r w:rsidR="000939AB">
              <w:rPr>
                <w:bCs/>
                <w:lang w:val="en-GB"/>
              </w:rPr>
              <w:t>‘</w:t>
            </w:r>
            <w:r w:rsidRPr="00145D39">
              <w:rPr>
                <w:bCs/>
                <w:lang w:val="en-GB"/>
              </w:rPr>
              <w:t>wrong</w:t>
            </w:r>
            <w:r w:rsidR="000939AB">
              <w:rPr>
                <w:bCs/>
                <w:lang w:val="en-GB"/>
              </w:rPr>
              <w:t>’</w:t>
            </w:r>
            <w:r w:rsidRPr="00145D39">
              <w:rPr>
                <w:bCs/>
                <w:lang w:val="en-GB"/>
              </w:rPr>
              <w:t xml:space="preserve"> areas. The College had experienced a decline in Higher National numbers, with a reduction of </w:t>
            </w:r>
            <w:r w:rsidR="000939AB">
              <w:rPr>
                <w:bCs/>
                <w:lang w:val="en-GB"/>
              </w:rPr>
              <w:t>c</w:t>
            </w:r>
            <w:r w:rsidRPr="00145D39">
              <w:rPr>
                <w:bCs/>
                <w:lang w:val="en-GB"/>
              </w:rPr>
              <w:t>200 learners, many of whom had instead accepted clearing offers at universities. This represented a</w:t>
            </w:r>
            <w:r w:rsidR="000939AB">
              <w:rPr>
                <w:bCs/>
                <w:lang w:val="en-GB"/>
              </w:rPr>
              <w:t>n additional</w:t>
            </w:r>
            <w:r w:rsidRPr="00145D39">
              <w:rPr>
                <w:bCs/>
                <w:lang w:val="en-GB"/>
              </w:rPr>
              <w:t xml:space="preserve"> financial shortfall</w:t>
            </w:r>
            <w:r w:rsidR="000939AB">
              <w:rPr>
                <w:bCs/>
                <w:lang w:val="en-GB"/>
              </w:rPr>
              <w:t>,</w:t>
            </w:r>
            <w:r w:rsidRPr="00145D39">
              <w:rPr>
                <w:bCs/>
                <w:lang w:val="en-GB"/>
              </w:rPr>
              <w:t xml:space="preserve"> creating a significant impact on income and student credits. </w:t>
            </w:r>
            <w:r w:rsidRPr="00C01F78">
              <w:rPr>
                <w:bCs/>
                <w:lang w:val="en-GB"/>
              </w:rPr>
              <w:t>S</w:t>
            </w:r>
            <w:r w:rsidRPr="00145D39">
              <w:rPr>
                <w:bCs/>
                <w:lang w:val="en-GB"/>
              </w:rPr>
              <w:t xml:space="preserve"> Hewitt noted that further modelling work was required to establish the true position, but savings would be unavoidable to ensure the College remained financially stable. </w:t>
            </w:r>
          </w:p>
          <w:p w14:paraId="46A0FCBA" w14:textId="77777777" w:rsidR="006E01FF" w:rsidRPr="00145D39" w:rsidRDefault="006E01FF" w:rsidP="00145D39">
            <w:pPr>
              <w:pStyle w:val="TableParagraph"/>
              <w:rPr>
                <w:b/>
                <w:lang w:val="en-GB"/>
              </w:rPr>
            </w:pPr>
          </w:p>
          <w:p w14:paraId="507DABF9" w14:textId="10A44B8A" w:rsidR="006E01FF" w:rsidRPr="0023701F" w:rsidRDefault="006E01FF" w:rsidP="00145D39">
            <w:pPr>
              <w:pStyle w:val="TableParagraph"/>
              <w:rPr>
                <w:bCs/>
                <w:lang w:val="en-GB"/>
              </w:rPr>
            </w:pPr>
            <w:r w:rsidRPr="00145D39">
              <w:rPr>
                <w:bCs/>
                <w:lang w:val="en-GB"/>
              </w:rPr>
              <w:t xml:space="preserve">National sector data indicated that of the 22 colleges fully funded by the Scottish Funding Council (SFC), 16 were projected to run out of cash by 2028. </w:t>
            </w:r>
            <w:r w:rsidRPr="0023701F">
              <w:rPr>
                <w:bCs/>
                <w:lang w:val="en-GB"/>
              </w:rPr>
              <w:t xml:space="preserve">S </w:t>
            </w:r>
            <w:r w:rsidRPr="00145D39">
              <w:rPr>
                <w:bCs/>
                <w:lang w:val="en-GB"/>
              </w:rPr>
              <w:t>Hewitt described this as a harsh reality, reinforcing the need for control, solutions, and new ways of working. Staff remained hopeful about the future but were concerned about the risk of the College slipping back into crisis. He acknowledged this uncertainty but noted that the College was well experienced in navigating such challenges, having developed resilience and effective processes over the years.</w:t>
            </w:r>
          </w:p>
          <w:p w14:paraId="5D28DC6E" w14:textId="77777777" w:rsidR="006E01FF" w:rsidRPr="00145D39" w:rsidRDefault="006E01FF" w:rsidP="00145D39">
            <w:pPr>
              <w:pStyle w:val="TableParagraph"/>
              <w:rPr>
                <w:b/>
                <w:lang w:val="en-GB"/>
              </w:rPr>
            </w:pPr>
          </w:p>
          <w:p w14:paraId="003B5F2E" w14:textId="3706FA2E" w:rsidR="006E01FF" w:rsidRPr="00995149" w:rsidRDefault="006E01FF" w:rsidP="00145D39">
            <w:pPr>
              <w:pStyle w:val="TableParagraph"/>
              <w:rPr>
                <w:bCs/>
                <w:lang w:val="en-GB"/>
              </w:rPr>
            </w:pPr>
            <w:r w:rsidRPr="00145D39">
              <w:rPr>
                <w:bCs/>
                <w:lang w:val="en-GB"/>
              </w:rPr>
              <w:t>S Taylor confirmed that the financial outlook was becoming clearer. An expected upturn had not materialised, making communication with staff and unions essential to ensure transparency and consultation. He recognised the difficulty of balancing a future vision and credit targets while reducing staffing, as this inevitably impacted student numbers. Nonetheless,</w:t>
            </w:r>
            <w:r w:rsidRPr="00995149">
              <w:rPr>
                <w:bCs/>
                <w:lang w:val="en-GB"/>
              </w:rPr>
              <w:t xml:space="preserve"> he stated</w:t>
            </w:r>
            <w:r w:rsidRPr="00145D39">
              <w:rPr>
                <w:bCs/>
                <w:lang w:val="en-GB"/>
              </w:rPr>
              <w:t xml:space="preserve"> it was important to move </w:t>
            </w:r>
            <w:r w:rsidRPr="00995149">
              <w:rPr>
                <w:bCs/>
                <w:lang w:val="en-GB"/>
              </w:rPr>
              <w:t>quickly and</w:t>
            </w:r>
            <w:r w:rsidRPr="00145D39">
              <w:rPr>
                <w:bCs/>
                <w:lang w:val="en-GB"/>
              </w:rPr>
              <w:t xml:space="preserve"> outlined an initial timeline for implementation running up to Christmas</w:t>
            </w:r>
            <w:r w:rsidRPr="00995149">
              <w:rPr>
                <w:bCs/>
                <w:lang w:val="en-GB"/>
              </w:rPr>
              <w:t xml:space="preserve"> 2025</w:t>
            </w:r>
            <w:r w:rsidRPr="00145D39">
              <w:rPr>
                <w:bCs/>
                <w:lang w:val="en-GB"/>
              </w:rPr>
              <w:t>, with discussions to be tied into the forthcoming meeting with the SFC.</w:t>
            </w:r>
          </w:p>
          <w:p w14:paraId="7BAEA03E" w14:textId="77777777" w:rsidR="006E01FF" w:rsidRPr="00145D39" w:rsidRDefault="006E01FF" w:rsidP="00145D39">
            <w:pPr>
              <w:pStyle w:val="TableParagraph"/>
              <w:rPr>
                <w:b/>
                <w:lang w:val="en-GB"/>
              </w:rPr>
            </w:pPr>
          </w:p>
          <w:p w14:paraId="00BF1486" w14:textId="39065950" w:rsidR="006E01FF" w:rsidRPr="0070766C" w:rsidRDefault="006E01FF" w:rsidP="00145D39">
            <w:pPr>
              <w:pStyle w:val="TableParagraph"/>
              <w:rPr>
                <w:bCs/>
                <w:lang w:val="en-GB"/>
              </w:rPr>
            </w:pPr>
            <w:r w:rsidRPr="0070766C">
              <w:rPr>
                <w:bCs/>
                <w:lang w:val="en-GB"/>
              </w:rPr>
              <w:t>S</w:t>
            </w:r>
            <w:r w:rsidRPr="00145D39">
              <w:rPr>
                <w:bCs/>
                <w:lang w:val="en-GB"/>
              </w:rPr>
              <w:t xml:space="preserve"> Hewitt highlighted further challenges regarding </w:t>
            </w:r>
            <w:r w:rsidRPr="0070766C">
              <w:rPr>
                <w:bCs/>
                <w:lang w:val="en-GB"/>
              </w:rPr>
              <w:t>the V</w:t>
            </w:r>
            <w:r w:rsidRPr="00145D39">
              <w:rPr>
                <w:bCs/>
                <w:lang w:val="en-GB"/>
              </w:rPr>
              <w:t xml:space="preserve">oluntary </w:t>
            </w:r>
            <w:r w:rsidRPr="0070766C">
              <w:rPr>
                <w:bCs/>
                <w:lang w:val="en-GB"/>
              </w:rPr>
              <w:t>S</w:t>
            </w:r>
            <w:r w:rsidRPr="00145D39">
              <w:rPr>
                <w:bCs/>
                <w:lang w:val="en-GB"/>
              </w:rPr>
              <w:t>everance (VS) arrangements. While the College had historically been able to fund VS schemes, these now placed increasing pressure on cash reserves, which had fallen from £6 million in 2021 to £4 million in the most recent financial year. He stressed that this was not unique to Dundee and Angus, with national statistics showing similar difficulties across the sector.</w:t>
            </w:r>
          </w:p>
          <w:p w14:paraId="2A706832" w14:textId="77777777" w:rsidR="006E01FF" w:rsidRPr="00145D39" w:rsidRDefault="006E01FF" w:rsidP="00145D39">
            <w:pPr>
              <w:pStyle w:val="TableParagraph"/>
              <w:rPr>
                <w:b/>
                <w:lang w:val="en-GB"/>
              </w:rPr>
            </w:pPr>
          </w:p>
          <w:p w14:paraId="3D82FD9F" w14:textId="6BFE4F6A" w:rsidR="006E01FF" w:rsidRPr="006C73B7" w:rsidRDefault="006E01FF" w:rsidP="00145D39">
            <w:pPr>
              <w:pStyle w:val="TableParagraph"/>
              <w:rPr>
                <w:bCs/>
                <w:lang w:val="en-GB"/>
              </w:rPr>
            </w:pPr>
            <w:r w:rsidRPr="00145D39">
              <w:rPr>
                <w:bCs/>
                <w:lang w:val="en-GB"/>
              </w:rPr>
              <w:t xml:space="preserve">In discussion, </w:t>
            </w:r>
            <w:r w:rsidRPr="006C73B7">
              <w:rPr>
                <w:bCs/>
                <w:lang w:val="en-GB"/>
              </w:rPr>
              <w:t>D</w:t>
            </w:r>
            <w:r w:rsidRPr="00145D39">
              <w:rPr>
                <w:bCs/>
                <w:lang w:val="en-GB"/>
              </w:rPr>
              <w:t xml:space="preserve"> </w:t>
            </w:r>
            <w:r w:rsidRPr="006C73B7">
              <w:rPr>
                <w:bCs/>
                <w:lang w:val="en-GB"/>
              </w:rPr>
              <w:t>Mackenzie</w:t>
            </w:r>
            <w:r w:rsidRPr="00145D39">
              <w:rPr>
                <w:bCs/>
                <w:lang w:val="en-GB"/>
              </w:rPr>
              <w:t xml:space="preserve"> queried the destination of students lost to universities and whether this reflected changing preferences. </w:t>
            </w:r>
            <w:r w:rsidRPr="006C73B7">
              <w:rPr>
                <w:bCs/>
                <w:lang w:val="en-GB"/>
              </w:rPr>
              <w:t>S</w:t>
            </w:r>
            <w:r w:rsidRPr="00145D39">
              <w:rPr>
                <w:bCs/>
                <w:lang w:val="en-GB"/>
              </w:rPr>
              <w:t xml:space="preserve"> Hewitt explained that </w:t>
            </w:r>
            <w:r w:rsidR="005E7954">
              <w:rPr>
                <w:bCs/>
                <w:lang w:val="en-GB"/>
              </w:rPr>
              <w:t xml:space="preserve">both local </w:t>
            </w:r>
            <w:r w:rsidRPr="00145D39">
              <w:rPr>
                <w:bCs/>
                <w:lang w:val="en-GB"/>
              </w:rPr>
              <w:t xml:space="preserve">universities had gone to clearing across almost all courses, with some lowering entry requirements in ways the College </w:t>
            </w:r>
            <w:r w:rsidR="00C67533">
              <w:rPr>
                <w:bCs/>
                <w:lang w:val="en-GB"/>
              </w:rPr>
              <w:t>was not comfortable to</w:t>
            </w:r>
            <w:r w:rsidRPr="00145D39">
              <w:rPr>
                <w:bCs/>
                <w:lang w:val="en-GB"/>
              </w:rPr>
              <w:t xml:space="preserve"> match. With fewer young people overall and growing competition, this presented a structural challenge which government intervention would be required to address.</w:t>
            </w:r>
          </w:p>
          <w:p w14:paraId="344CE836" w14:textId="77777777" w:rsidR="006E01FF" w:rsidRPr="00145D39" w:rsidRDefault="006E01FF" w:rsidP="00145D39">
            <w:pPr>
              <w:pStyle w:val="TableParagraph"/>
              <w:rPr>
                <w:b/>
                <w:lang w:val="en-GB"/>
              </w:rPr>
            </w:pPr>
          </w:p>
          <w:p w14:paraId="35E30366" w14:textId="42195FBD" w:rsidR="006E01FF" w:rsidRDefault="006E01FF" w:rsidP="00145D39">
            <w:pPr>
              <w:pStyle w:val="TableParagraph"/>
              <w:rPr>
                <w:bCs/>
                <w:lang w:val="en-GB"/>
              </w:rPr>
            </w:pPr>
            <w:r w:rsidRPr="006C73B7">
              <w:rPr>
                <w:bCs/>
                <w:lang w:val="en-GB"/>
              </w:rPr>
              <w:t>N</w:t>
            </w:r>
            <w:r w:rsidRPr="00145D39">
              <w:rPr>
                <w:bCs/>
                <w:lang w:val="en-GB"/>
              </w:rPr>
              <w:t xml:space="preserve"> Lowden noted the steep decline in tuition fee income, which had reduced from a projection of £3.8 million in 2021/22 to £2.5 million in the current year. </w:t>
            </w:r>
            <w:r w:rsidR="00AD5C5D">
              <w:rPr>
                <w:bCs/>
                <w:lang w:val="en-GB"/>
              </w:rPr>
              <w:t>S Hewitt confirmed that this was the impact of declining HN numbers.</w:t>
            </w:r>
          </w:p>
          <w:p w14:paraId="1AE32E5E" w14:textId="77777777" w:rsidR="006E01FF" w:rsidRPr="006C73B7" w:rsidRDefault="006E01FF" w:rsidP="00145D39">
            <w:pPr>
              <w:pStyle w:val="TableParagraph"/>
              <w:rPr>
                <w:bCs/>
                <w:lang w:val="en-GB"/>
              </w:rPr>
            </w:pPr>
          </w:p>
          <w:p w14:paraId="654893AA" w14:textId="0C2CB32C" w:rsidR="006E01FF" w:rsidRPr="006C73B7" w:rsidRDefault="006E01FF" w:rsidP="00145D39">
            <w:pPr>
              <w:pStyle w:val="TableParagraph"/>
              <w:rPr>
                <w:bCs/>
                <w:lang w:val="en-GB"/>
              </w:rPr>
            </w:pPr>
            <w:r w:rsidRPr="006C73B7">
              <w:rPr>
                <w:bCs/>
                <w:lang w:val="en-GB"/>
              </w:rPr>
              <w:t>D</w:t>
            </w:r>
            <w:r w:rsidRPr="00145D39">
              <w:rPr>
                <w:bCs/>
                <w:lang w:val="en-GB"/>
              </w:rPr>
              <w:t xml:space="preserve"> Mackenzie asked whether there was an appetite for structural reform</w:t>
            </w:r>
            <w:r w:rsidR="00AD5C5D">
              <w:rPr>
                <w:bCs/>
                <w:lang w:val="en-GB"/>
              </w:rPr>
              <w:t xml:space="preserve"> across the sector</w:t>
            </w:r>
            <w:r w:rsidRPr="00145D39">
              <w:rPr>
                <w:bCs/>
                <w:lang w:val="en-GB"/>
              </w:rPr>
              <w:t xml:space="preserve">, but </w:t>
            </w:r>
            <w:r w:rsidRPr="006C73B7">
              <w:rPr>
                <w:bCs/>
                <w:lang w:val="en-GB"/>
              </w:rPr>
              <w:t>S</w:t>
            </w:r>
            <w:r w:rsidR="00AD5C5D">
              <w:rPr>
                <w:bCs/>
                <w:lang w:val="en-GB"/>
              </w:rPr>
              <w:t> </w:t>
            </w:r>
            <w:r w:rsidRPr="00145D39">
              <w:rPr>
                <w:bCs/>
                <w:lang w:val="en-GB"/>
              </w:rPr>
              <w:t>Hewitt responded that no such developments were likely before the next election.</w:t>
            </w:r>
          </w:p>
          <w:p w14:paraId="45A5E659" w14:textId="77777777" w:rsidR="006E01FF" w:rsidRPr="00145D39" w:rsidRDefault="006E01FF" w:rsidP="00145D39">
            <w:pPr>
              <w:pStyle w:val="TableParagraph"/>
              <w:rPr>
                <w:b/>
                <w:lang w:val="en-GB"/>
              </w:rPr>
            </w:pPr>
          </w:p>
          <w:p w14:paraId="00D5EE05" w14:textId="77777777" w:rsidR="00F87674" w:rsidRDefault="006E01FF" w:rsidP="00145D39">
            <w:pPr>
              <w:pStyle w:val="TableParagraph"/>
              <w:rPr>
                <w:bCs/>
                <w:lang w:val="en-GB"/>
              </w:rPr>
            </w:pPr>
            <w:r w:rsidRPr="00F63F70">
              <w:rPr>
                <w:bCs/>
                <w:lang w:val="en-GB"/>
              </w:rPr>
              <w:t>B</w:t>
            </w:r>
            <w:r w:rsidRPr="00145D39">
              <w:rPr>
                <w:bCs/>
                <w:lang w:val="en-GB"/>
              </w:rPr>
              <w:t xml:space="preserve"> Lawrie observed that the commentary was striking, with a number of colleges reportedly on a financial “watch list.” He highlighted that the loss of 200 students to universities, while not necessarily the best option for them, created significant financial pressures for the College. He asked whether staffing reductions, the largest cost driver, would impact curriculum delivery. In response, </w:t>
            </w:r>
            <w:r w:rsidRPr="00F63F70">
              <w:rPr>
                <w:bCs/>
                <w:lang w:val="en-GB"/>
              </w:rPr>
              <w:t>S</w:t>
            </w:r>
            <w:r w:rsidRPr="00145D39">
              <w:rPr>
                <w:bCs/>
                <w:lang w:val="en-GB"/>
              </w:rPr>
              <w:t xml:space="preserve"> Hewitt advised that</w:t>
            </w:r>
            <w:r w:rsidR="004E7ACA">
              <w:rPr>
                <w:bCs/>
                <w:lang w:val="en-GB"/>
              </w:rPr>
              <w:t xml:space="preserve"> it was the role of the College to avoid this where possible</w:t>
            </w:r>
            <w:r w:rsidR="00F87674">
              <w:rPr>
                <w:bCs/>
                <w:lang w:val="en-GB"/>
              </w:rPr>
              <w:t>.</w:t>
            </w:r>
          </w:p>
          <w:p w14:paraId="16C68A6D" w14:textId="77777777" w:rsidR="00F87674" w:rsidRDefault="00F87674" w:rsidP="00145D39">
            <w:pPr>
              <w:pStyle w:val="TableParagraph"/>
              <w:rPr>
                <w:bCs/>
                <w:lang w:val="en-GB"/>
              </w:rPr>
            </w:pPr>
          </w:p>
          <w:p w14:paraId="2C55CA2F" w14:textId="34BF8883" w:rsidR="006E01FF" w:rsidRPr="00F63F70" w:rsidRDefault="00F87674" w:rsidP="00145D39">
            <w:pPr>
              <w:pStyle w:val="TableParagraph"/>
              <w:rPr>
                <w:bCs/>
                <w:lang w:val="en-GB"/>
              </w:rPr>
            </w:pPr>
            <w:r>
              <w:rPr>
                <w:bCs/>
                <w:lang w:val="en-GB"/>
              </w:rPr>
              <w:t>S Hewitt noted that against this position there were</w:t>
            </w:r>
            <w:r w:rsidR="006E01FF" w:rsidRPr="00145D39">
              <w:rPr>
                <w:bCs/>
                <w:lang w:val="en-GB"/>
              </w:rPr>
              <w:t xml:space="preserve"> 14 colleges projected to run out of cash by 2027, with nine already considering campus closures in 2027/28.</w:t>
            </w:r>
          </w:p>
          <w:p w14:paraId="3BFD0E59" w14:textId="77777777" w:rsidR="006E01FF" w:rsidRDefault="006E01FF" w:rsidP="00145D39">
            <w:pPr>
              <w:pStyle w:val="TableParagraph"/>
              <w:rPr>
                <w:b/>
                <w:lang w:val="en-GB"/>
              </w:rPr>
            </w:pPr>
          </w:p>
          <w:p w14:paraId="10521785" w14:textId="77777777" w:rsidR="00F87674" w:rsidRPr="00145D39" w:rsidRDefault="00F87674" w:rsidP="00145D39">
            <w:pPr>
              <w:pStyle w:val="TableParagraph"/>
              <w:rPr>
                <w:b/>
                <w:lang w:val="en-GB"/>
              </w:rPr>
            </w:pPr>
          </w:p>
          <w:p w14:paraId="38040CE1" w14:textId="4644CA68" w:rsidR="006E01FF" w:rsidRPr="00D80971" w:rsidRDefault="006E01FF" w:rsidP="00145D39">
            <w:pPr>
              <w:pStyle w:val="TableParagraph"/>
              <w:rPr>
                <w:bCs/>
                <w:lang w:val="en-GB"/>
              </w:rPr>
            </w:pPr>
            <w:r w:rsidRPr="00D80971">
              <w:rPr>
                <w:bCs/>
                <w:lang w:val="en-GB"/>
              </w:rPr>
              <w:lastRenderedPageBreak/>
              <w:t>R</w:t>
            </w:r>
            <w:r w:rsidRPr="00145D39">
              <w:rPr>
                <w:bCs/>
                <w:lang w:val="en-GB"/>
              </w:rPr>
              <w:t xml:space="preserve"> Young queried the existence of a “watch list” and whether there was a trigger point for </w:t>
            </w:r>
            <w:r w:rsidR="00F87674">
              <w:rPr>
                <w:bCs/>
                <w:lang w:val="en-GB"/>
              </w:rPr>
              <w:t>further SFC intervention</w:t>
            </w:r>
            <w:r w:rsidRPr="00145D39">
              <w:rPr>
                <w:bCs/>
                <w:lang w:val="en-GB"/>
              </w:rPr>
              <w:t xml:space="preserve">. </w:t>
            </w:r>
          </w:p>
          <w:p w14:paraId="51F49905" w14:textId="77777777" w:rsidR="006E01FF" w:rsidRPr="00D80971" w:rsidRDefault="006E01FF" w:rsidP="00145D39">
            <w:pPr>
              <w:pStyle w:val="TableParagraph"/>
              <w:rPr>
                <w:bCs/>
                <w:lang w:val="en-GB"/>
              </w:rPr>
            </w:pPr>
          </w:p>
          <w:p w14:paraId="723A365A" w14:textId="33E53C65" w:rsidR="006E01FF" w:rsidRPr="00D80971" w:rsidRDefault="006E01FF" w:rsidP="00145D39">
            <w:pPr>
              <w:pStyle w:val="TableParagraph"/>
              <w:rPr>
                <w:bCs/>
                <w:lang w:val="en-GB"/>
              </w:rPr>
            </w:pPr>
            <w:r w:rsidRPr="00D80971">
              <w:rPr>
                <w:bCs/>
                <w:lang w:val="en-GB"/>
              </w:rPr>
              <w:t>S</w:t>
            </w:r>
            <w:r w:rsidRPr="00145D39">
              <w:rPr>
                <w:bCs/>
                <w:lang w:val="en-GB"/>
              </w:rPr>
              <w:t xml:space="preserve"> Hewitt confirmed that the Scottish Funding Council monitored such matters, but once a college was placed on the list, decisions </w:t>
            </w:r>
            <w:r w:rsidR="001A1D9B">
              <w:rPr>
                <w:bCs/>
                <w:lang w:val="en-GB"/>
              </w:rPr>
              <w:t>risked being moved</w:t>
            </w:r>
            <w:r w:rsidRPr="00145D39">
              <w:rPr>
                <w:bCs/>
                <w:lang w:val="en-GB"/>
              </w:rPr>
              <w:t xml:space="preserve"> beyond its control. He reiterated the importance of maintaining transparency with staff during this period of uncertainty.</w:t>
            </w:r>
          </w:p>
          <w:p w14:paraId="0A3224AC" w14:textId="77777777" w:rsidR="006E01FF" w:rsidRPr="00145D39" w:rsidRDefault="006E01FF" w:rsidP="00145D39">
            <w:pPr>
              <w:pStyle w:val="TableParagraph"/>
              <w:rPr>
                <w:b/>
                <w:lang w:val="en-GB"/>
              </w:rPr>
            </w:pPr>
          </w:p>
          <w:p w14:paraId="3E440D43" w14:textId="2DB36C28" w:rsidR="006E01FF" w:rsidRPr="00D80971" w:rsidRDefault="006E01FF" w:rsidP="00145D39">
            <w:pPr>
              <w:pStyle w:val="TableParagraph"/>
              <w:rPr>
                <w:bCs/>
                <w:lang w:val="en-GB"/>
              </w:rPr>
            </w:pPr>
            <w:r w:rsidRPr="00D80971">
              <w:rPr>
                <w:bCs/>
                <w:lang w:val="en-GB"/>
              </w:rPr>
              <w:t>S</w:t>
            </w:r>
            <w:r w:rsidRPr="00145D39">
              <w:rPr>
                <w:bCs/>
                <w:lang w:val="en-GB"/>
              </w:rPr>
              <w:t xml:space="preserve"> Oakley expressed concern at yet another period of uncertainty. He stressed that the trade union’s position was not to oppose the College but to hold the Scottish Government and the SFC accountable.</w:t>
            </w:r>
          </w:p>
          <w:p w14:paraId="1F25B3EF" w14:textId="77777777" w:rsidR="006E01FF" w:rsidRPr="00145D39" w:rsidRDefault="006E01FF" w:rsidP="00145D39">
            <w:pPr>
              <w:pStyle w:val="TableParagraph"/>
              <w:rPr>
                <w:b/>
                <w:lang w:val="en-GB"/>
              </w:rPr>
            </w:pPr>
          </w:p>
          <w:p w14:paraId="53BD92D6" w14:textId="71A0FAEF" w:rsidR="006E01FF" w:rsidRPr="00B60069" w:rsidRDefault="006E01FF" w:rsidP="00145D39">
            <w:pPr>
              <w:pStyle w:val="TableParagraph"/>
              <w:rPr>
                <w:bCs/>
                <w:lang w:val="en-GB"/>
              </w:rPr>
            </w:pPr>
            <w:r w:rsidRPr="00B60069">
              <w:rPr>
                <w:bCs/>
                <w:lang w:val="en-GB"/>
              </w:rPr>
              <w:t>C</w:t>
            </w:r>
            <w:r w:rsidRPr="00145D39">
              <w:rPr>
                <w:bCs/>
                <w:lang w:val="en-GB"/>
              </w:rPr>
              <w:t xml:space="preserve"> Cusick asked about the purpose of the forthcoming meeting</w:t>
            </w:r>
            <w:r w:rsidR="00661973">
              <w:rPr>
                <w:bCs/>
                <w:lang w:val="en-GB"/>
              </w:rPr>
              <w:t xml:space="preserve"> with SFC</w:t>
            </w:r>
            <w:r w:rsidRPr="00145D39">
              <w:rPr>
                <w:bCs/>
                <w:lang w:val="en-GB"/>
              </w:rPr>
              <w:t xml:space="preserve">. </w:t>
            </w:r>
            <w:r w:rsidRPr="00B60069">
              <w:rPr>
                <w:bCs/>
                <w:lang w:val="en-GB"/>
              </w:rPr>
              <w:t>S</w:t>
            </w:r>
            <w:r w:rsidRPr="00145D39">
              <w:rPr>
                <w:bCs/>
                <w:lang w:val="en-GB"/>
              </w:rPr>
              <w:t xml:space="preserve"> Hewitt explained that the meeting would set out the College’s position on its credit target, clarifying that while a £4 million reduction had been permitted, activity levels had to be maintained</w:t>
            </w:r>
            <w:r>
              <w:rPr>
                <w:bCs/>
                <w:lang w:val="en-GB"/>
              </w:rPr>
              <w:t>, with t</w:t>
            </w:r>
            <w:r w:rsidRPr="00145D39">
              <w:rPr>
                <w:bCs/>
                <w:lang w:val="en-GB"/>
              </w:rPr>
              <w:t>he aim to articulate the financial position and the future vision for the College.</w:t>
            </w:r>
          </w:p>
          <w:p w14:paraId="09EACE4A" w14:textId="77777777" w:rsidR="006E01FF" w:rsidRPr="00145D39" w:rsidRDefault="006E01FF" w:rsidP="00145D39">
            <w:pPr>
              <w:pStyle w:val="TableParagraph"/>
              <w:rPr>
                <w:b/>
                <w:lang w:val="en-GB"/>
              </w:rPr>
            </w:pPr>
          </w:p>
          <w:p w14:paraId="2AB7113B" w14:textId="0DA49761" w:rsidR="006E01FF" w:rsidRPr="00AB1E3B" w:rsidRDefault="006E01FF" w:rsidP="00145D39">
            <w:pPr>
              <w:pStyle w:val="TableParagraph"/>
              <w:rPr>
                <w:bCs/>
                <w:lang w:val="en-GB"/>
              </w:rPr>
            </w:pPr>
            <w:r w:rsidRPr="00AB1E3B">
              <w:rPr>
                <w:bCs/>
                <w:lang w:val="en-GB"/>
              </w:rPr>
              <w:t>S</w:t>
            </w:r>
            <w:r w:rsidRPr="00145D39">
              <w:rPr>
                <w:bCs/>
                <w:lang w:val="en-GB"/>
              </w:rPr>
              <w:t xml:space="preserve"> Oakley expressed concern that deterioration in the quality of provision might result from financial pressures. </w:t>
            </w:r>
            <w:r w:rsidRPr="00AB1E3B">
              <w:rPr>
                <w:bCs/>
                <w:lang w:val="en-GB"/>
              </w:rPr>
              <w:t>S</w:t>
            </w:r>
            <w:r w:rsidRPr="00145D39">
              <w:rPr>
                <w:bCs/>
                <w:lang w:val="en-GB"/>
              </w:rPr>
              <w:t xml:space="preserve"> Hewitt acknowledged this risk but emphasised the need to do things differently, noting that national participation measures were already at rock bottom.</w:t>
            </w:r>
          </w:p>
          <w:p w14:paraId="50FE91A7" w14:textId="77777777" w:rsidR="006E01FF" w:rsidRPr="00145D39" w:rsidRDefault="006E01FF" w:rsidP="00145D39">
            <w:pPr>
              <w:pStyle w:val="TableParagraph"/>
              <w:rPr>
                <w:b/>
                <w:lang w:val="en-GB"/>
              </w:rPr>
            </w:pPr>
          </w:p>
          <w:p w14:paraId="4C1CD714" w14:textId="02CAC79D" w:rsidR="006E01FF" w:rsidRPr="00933D92" w:rsidRDefault="006E01FF" w:rsidP="00145D39">
            <w:pPr>
              <w:pStyle w:val="TableParagraph"/>
              <w:rPr>
                <w:bCs/>
                <w:lang w:val="en-GB"/>
              </w:rPr>
            </w:pPr>
            <w:r w:rsidRPr="00145D39">
              <w:rPr>
                <w:bCs/>
                <w:lang w:val="en-GB"/>
              </w:rPr>
              <w:t xml:space="preserve">Further discussion noted the mixed messages arising around redundancies, with </w:t>
            </w:r>
            <w:r w:rsidRPr="00933D92">
              <w:rPr>
                <w:bCs/>
                <w:lang w:val="en-GB"/>
              </w:rPr>
              <w:t>S</w:t>
            </w:r>
            <w:r w:rsidRPr="00145D39">
              <w:rPr>
                <w:bCs/>
                <w:lang w:val="en-GB"/>
              </w:rPr>
              <w:t xml:space="preserve"> Taylor stressing the need to find sustainable solutions and to work with the SFC for short-term flexibility</w:t>
            </w:r>
            <w:r w:rsidR="00CD0D5A">
              <w:rPr>
                <w:bCs/>
                <w:lang w:val="en-GB"/>
              </w:rPr>
              <w:t xml:space="preserve"> to deliver longer term sustainability</w:t>
            </w:r>
            <w:r w:rsidRPr="00145D39">
              <w:rPr>
                <w:bCs/>
                <w:lang w:val="en-GB"/>
              </w:rPr>
              <w:t xml:space="preserve">. He cautioned that many colleges were already operating at the edge of their budgets, effectively borrowing against future </w:t>
            </w:r>
            <w:r w:rsidR="00A167BC">
              <w:rPr>
                <w:bCs/>
                <w:lang w:val="en-GB"/>
              </w:rPr>
              <w:t>funding</w:t>
            </w:r>
            <w:r w:rsidRPr="00145D39">
              <w:rPr>
                <w:bCs/>
                <w:lang w:val="en-GB"/>
              </w:rPr>
              <w:t xml:space="preserve"> making recovery difficult without a</w:t>
            </w:r>
            <w:r w:rsidR="00A167BC">
              <w:rPr>
                <w:bCs/>
                <w:lang w:val="en-GB"/>
              </w:rPr>
              <w:t>n even more severe</w:t>
            </w:r>
            <w:r w:rsidRPr="00145D39">
              <w:rPr>
                <w:bCs/>
                <w:lang w:val="en-GB"/>
              </w:rPr>
              <w:t xml:space="preserve"> plan.</w:t>
            </w:r>
          </w:p>
          <w:p w14:paraId="4FE71C33" w14:textId="77777777" w:rsidR="006E01FF" w:rsidRPr="00145D39" w:rsidRDefault="006E01FF" w:rsidP="00145D39">
            <w:pPr>
              <w:pStyle w:val="TableParagraph"/>
              <w:rPr>
                <w:b/>
                <w:lang w:val="en-GB"/>
              </w:rPr>
            </w:pPr>
          </w:p>
          <w:p w14:paraId="09740185" w14:textId="38EC3FAD" w:rsidR="006E01FF" w:rsidRPr="00933D92" w:rsidRDefault="006E01FF" w:rsidP="00145D39">
            <w:pPr>
              <w:pStyle w:val="TableParagraph"/>
              <w:rPr>
                <w:bCs/>
                <w:lang w:val="en-GB"/>
              </w:rPr>
            </w:pPr>
            <w:r w:rsidRPr="00933D92">
              <w:rPr>
                <w:bCs/>
                <w:lang w:val="en-GB"/>
              </w:rPr>
              <w:t>D</w:t>
            </w:r>
            <w:r w:rsidRPr="00145D39">
              <w:rPr>
                <w:bCs/>
                <w:lang w:val="en-GB"/>
              </w:rPr>
              <w:t xml:space="preserve"> Mackenzie concluded that while the challenges were severe, the College had faced and overcome similar pressures in the past.</w:t>
            </w:r>
          </w:p>
          <w:p w14:paraId="55A611E3" w14:textId="77777777" w:rsidR="006E01FF" w:rsidRPr="00933D92" w:rsidRDefault="006E01FF" w:rsidP="00145D39">
            <w:pPr>
              <w:pStyle w:val="TableParagraph"/>
              <w:rPr>
                <w:bCs/>
                <w:lang w:val="en-GB"/>
              </w:rPr>
            </w:pPr>
          </w:p>
          <w:p w14:paraId="7AB86D59" w14:textId="7DDF5EE0" w:rsidR="006E01FF" w:rsidRPr="00145D39" w:rsidRDefault="006E01FF" w:rsidP="00145D39">
            <w:pPr>
              <w:pStyle w:val="TableParagraph"/>
              <w:rPr>
                <w:bCs/>
                <w:lang w:val="en-GB"/>
              </w:rPr>
            </w:pPr>
            <w:r w:rsidRPr="00933D92">
              <w:rPr>
                <w:bCs/>
                <w:lang w:val="en-GB"/>
              </w:rPr>
              <w:t xml:space="preserve">D Mackenzie thanked S Hewitt for the update. </w:t>
            </w:r>
          </w:p>
          <w:p w14:paraId="49C5AF5F" w14:textId="77777777" w:rsidR="006E01FF" w:rsidRDefault="006E01FF" w:rsidP="00923852">
            <w:pPr>
              <w:pStyle w:val="TableParagraph"/>
              <w:rPr>
                <w:b/>
              </w:rPr>
            </w:pPr>
          </w:p>
          <w:p w14:paraId="64C4D740" w14:textId="77777777" w:rsidR="006E01FF" w:rsidRPr="00D76C33" w:rsidRDefault="006E01FF" w:rsidP="00923852">
            <w:pPr>
              <w:pStyle w:val="TableParagraph"/>
              <w:rPr>
                <w:b/>
              </w:rPr>
            </w:pPr>
          </w:p>
        </w:tc>
      </w:tr>
      <w:tr w:rsidR="006E01FF" w:rsidRPr="00D76C33" w14:paraId="7A82CF71" w14:textId="77777777" w:rsidTr="006E01FF">
        <w:trPr>
          <w:trHeight w:val="507"/>
        </w:trPr>
        <w:tc>
          <w:tcPr>
            <w:tcW w:w="567" w:type="dxa"/>
          </w:tcPr>
          <w:p w14:paraId="3B9541B5" w14:textId="77777777" w:rsidR="006E01FF" w:rsidRPr="00D76C33" w:rsidRDefault="006E01FF" w:rsidP="00824E78">
            <w:pPr>
              <w:pStyle w:val="TableParagraph"/>
              <w:numPr>
                <w:ilvl w:val="0"/>
                <w:numId w:val="1"/>
              </w:numPr>
              <w:ind w:left="0" w:firstLine="0"/>
              <w:jc w:val="center"/>
              <w:rPr>
                <w:b/>
              </w:rPr>
            </w:pPr>
          </w:p>
        </w:tc>
        <w:tc>
          <w:tcPr>
            <w:tcW w:w="9356" w:type="dxa"/>
          </w:tcPr>
          <w:p w14:paraId="089A85C3" w14:textId="63C4F442" w:rsidR="006E01FF" w:rsidRDefault="006E01FF" w:rsidP="00923852">
            <w:pPr>
              <w:pStyle w:val="TableParagraph"/>
              <w:rPr>
                <w:b/>
              </w:rPr>
            </w:pPr>
            <w:r w:rsidRPr="00D76C33">
              <w:rPr>
                <w:b/>
              </w:rPr>
              <w:t>PEOPLE</w:t>
            </w:r>
            <w:r>
              <w:rPr>
                <w:b/>
              </w:rPr>
              <w:t xml:space="preserve">, CULTURE &amp; WELLBEING </w:t>
            </w:r>
            <w:r w:rsidRPr="00D76C33">
              <w:rPr>
                <w:b/>
              </w:rPr>
              <w:t>REPORT</w:t>
            </w:r>
            <w:r>
              <w:rPr>
                <w:b/>
              </w:rPr>
              <w:t xml:space="preserve"> </w:t>
            </w:r>
          </w:p>
          <w:p w14:paraId="45C1DCDC" w14:textId="77777777" w:rsidR="006E01FF" w:rsidRDefault="006E01FF" w:rsidP="00923852">
            <w:pPr>
              <w:pStyle w:val="TableParagraph"/>
              <w:rPr>
                <w:b/>
              </w:rPr>
            </w:pPr>
          </w:p>
          <w:p w14:paraId="6255EB75" w14:textId="1BB6414F" w:rsidR="006E01FF" w:rsidRPr="008750C5" w:rsidRDefault="006E01FF" w:rsidP="00114F6D">
            <w:pPr>
              <w:pStyle w:val="TableParagraph"/>
              <w:rPr>
                <w:bCs/>
                <w:lang w:val="en-GB"/>
              </w:rPr>
            </w:pPr>
            <w:r w:rsidRPr="008750C5">
              <w:rPr>
                <w:bCs/>
                <w:lang w:val="en-GB"/>
              </w:rPr>
              <w:t xml:space="preserve">S </w:t>
            </w:r>
            <w:r w:rsidRPr="00114F6D">
              <w:rPr>
                <w:bCs/>
                <w:lang w:val="en-GB"/>
              </w:rPr>
              <w:t xml:space="preserve">Taylor presented his </w:t>
            </w:r>
            <w:r w:rsidRPr="008750C5">
              <w:rPr>
                <w:bCs/>
                <w:lang w:val="en-GB"/>
              </w:rPr>
              <w:t>People, Culture &amp; Wellbeing Report, h</w:t>
            </w:r>
            <w:r w:rsidRPr="00114F6D">
              <w:rPr>
                <w:bCs/>
                <w:lang w:val="en-GB"/>
              </w:rPr>
              <w:t xml:space="preserve">e noted that voluntary severance costs in the previous year had been higher than forecasted. </w:t>
            </w:r>
            <w:r w:rsidR="00A62161">
              <w:rPr>
                <w:bCs/>
                <w:lang w:val="en-GB"/>
              </w:rPr>
              <w:t>This was due to the s</w:t>
            </w:r>
            <w:r w:rsidRPr="00114F6D">
              <w:rPr>
                <w:bCs/>
                <w:lang w:val="en-GB"/>
              </w:rPr>
              <w:t xml:space="preserve">taffing reductions within the Sports Centre and the Service Academy </w:t>
            </w:r>
            <w:r w:rsidR="00A62161">
              <w:rPr>
                <w:bCs/>
                <w:lang w:val="en-GB"/>
              </w:rPr>
              <w:t xml:space="preserve">which </w:t>
            </w:r>
            <w:r w:rsidRPr="00114F6D">
              <w:rPr>
                <w:bCs/>
                <w:lang w:val="en-GB"/>
              </w:rPr>
              <w:t>had now been progressed and were complete.</w:t>
            </w:r>
          </w:p>
          <w:p w14:paraId="152EBAFC" w14:textId="77777777" w:rsidR="006E01FF" w:rsidRPr="00114F6D" w:rsidRDefault="006E01FF" w:rsidP="00114F6D">
            <w:pPr>
              <w:pStyle w:val="TableParagraph"/>
              <w:rPr>
                <w:b/>
                <w:lang w:val="en-GB"/>
              </w:rPr>
            </w:pPr>
          </w:p>
          <w:p w14:paraId="1536C2D8" w14:textId="15BB7DAB" w:rsidR="006E01FF" w:rsidRPr="00A949C6" w:rsidRDefault="006E01FF" w:rsidP="00114F6D">
            <w:pPr>
              <w:pStyle w:val="TableParagraph"/>
              <w:rPr>
                <w:bCs/>
                <w:lang w:val="en-GB"/>
              </w:rPr>
            </w:pPr>
            <w:r w:rsidRPr="00A949C6">
              <w:rPr>
                <w:bCs/>
                <w:lang w:val="en-GB"/>
              </w:rPr>
              <w:t>S</w:t>
            </w:r>
            <w:r w:rsidRPr="00114F6D">
              <w:rPr>
                <w:bCs/>
                <w:lang w:val="en-GB"/>
              </w:rPr>
              <w:t xml:space="preserve"> Taylor highlighted the recent staff awards, remarking that the student-voted awards were particularly powerful in recognising and celebrating staff contributions. He also referred to the recent All Staff Day, which had been a challenging but impactful event. The programme, which included </w:t>
            </w:r>
            <w:r w:rsidR="00A62161">
              <w:rPr>
                <w:bCs/>
                <w:lang w:val="en-GB"/>
              </w:rPr>
              <w:t xml:space="preserve">a presentation by Fiona Drouet on </w:t>
            </w:r>
            <w:r w:rsidRPr="00114F6D">
              <w:rPr>
                <w:bCs/>
                <w:lang w:val="en-GB"/>
              </w:rPr>
              <w:t>the “Emily Test,” was described as powerful and had prompted reflection and action across the organisation. Engagement levels were very strong, and feedback from staff had been highly positive.</w:t>
            </w:r>
          </w:p>
          <w:p w14:paraId="61C6F493" w14:textId="77777777" w:rsidR="006E01FF" w:rsidRPr="00114F6D" w:rsidRDefault="006E01FF" w:rsidP="00114F6D">
            <w:pPr>
              <w:pStyle w:val="TableParagraph"/>
              <w:rPr>
                <w:bCs/>
                <w:lang w:val="en-GB"/>
              </w:rPr>
            </w:pPr>
          </w:p>
          <w:p w14:paraId="70DD9C0D" w14:textId="3AB484F9" w:rsidR="006E01FF" w:rsidRPr="00A949C6" w:rsidRDefault="006E01FF" w:rsidP="00114F6D">
            <w:pPr>
              <w:pStyle w:val="TableParagraph"/>
              <w:rPr>
                <w:bCs/>
                <w:lang w:val="en-GB"/>
              </w:rPr>
            </w:pPr>
            <w:r w:rsidRPr="00114F6D">
              <w:rPr>
                <w:bCs/>
                <w:lang w:val="en-GB"/>
              </w:rPr>
              <w:t xml:space="preserve">In terms of follow-up work, </w:t>
            </w:r>
            <w:r w:rsidRPr="00A949C6">
              <w:rPr>
                <w:bCs/>
                <w:lang w:val="en-GB"/>
              </w:rPr>
              <w:t>S</w:t>
            </w:r>
            <w:r w:rsidRPr="00114F6D">
              <w:rPr>
                <w:bCs/>
                <w:lang w:val="en-GB"/>
              </w:rPr>
              <w:t xml:space="preserve"> Taylor reported significant progress in developing activity linked to the Emily Test, with many connections established with local organisations to secure support. He noted that the College had considered the related Charter but, given the number of charters already in circulation, had not yet signed it. A group had been convened to review the matter further.</w:t>
            </w:r>
          </w:p>
          <w:p w14:paraId="0FE79EC5" w14:textId="77777777" w:rsidR="006E01FF" w:rsidRPr="00114F6D" w:rsidRDefault="006E01FF" w:rsidP="00114F6D">
            <w:pPr>
              <w:pStyle w:val="TableParagraph"/>
              <w:rPr>
                <w:b/>
                <w:lang w:val="en-GB"/>
              </w:rPr>
            </w:pPr>
          </w:p>
          <w:p w14:paraId="00B898C9" w14:textId="4304BE71" w:rsidR="006E01FF" w:rsidRPr="00A949C6" w:rsidRDefault="006E01FF" w:rsidP="00114F6D">
            <w:pPr>
              <w:pStyle w:val="TableParagraph"/>
              <w:rPr>
                <w:bCs/>
                <w:lang w:val="en-GB"/>
              </w:rPr>
            </w:pPr>
            <w:r w:rsidRPr="00A949C6">
              <w:rPr>
                <w:bCs/>
                <w:lang w:val="en-GB"/>
              </w:rPr>
              <w:t>S</w:t>
            </w:r>
            <w:r w:rsidRPr="00114F6D">
              <w:rPr>
                <w:bCs/>
                <w:lang w:val="en-GB"/>
              </w:rPr>
              <w:t xml:space="preserve"> Oakley expressed his belief that the College should sign the Charter. </w:t>
            </w:r>
            <w:r w:rsidRPr="00A949C6">
              <w:rPr>
                <w:bCs/>
                <w:lang w:val="en-GB"/>
              </w:rPr>
              <w:t>S</w:t>
            </w:r>
            <w:r w:rsidRPr="00114F6D">
              <w:rPr>
                <w:bCs/>
                <w:lang w:val="en-GB"/>
              </w:rPr>
              <w:t xml:space="preserve"> Taylor responded that the review would continue before a final decision was made.</w:t>
            </w:r>
          </w:p>
          <w:p w14:paraId="10457311" w14:textId="77777777" w:rsidR="006E01FF" w:rsidRPr="00114F6D" w:rsidRDefault="006E01FF" w:rsidP="00114F6D">
            <w:pPr>
              <w:pStyle w:val="TableParagraph"/>
              <w:rPr>
                <w:b/>
                <w:lang w:val="en-GB"/>
              </w:rPr>
            </w:pPr>
          </w:p>
          <w:p w14:paraId="1750E9B1" w14:textId="77777777" w:rsidR="001C3AD5" w:rsidRDefault="006E01FF" w:rsidP="00114F6D">
            <w:pPr>
              <w:pStyle w:val="TableParagraph"/>
              <w:rPr>
                <w:bCs/>
                <w:lang w:val="en-GB"/>
              </w:rPr>
            </w:pPr>
            <w:r w:rsidRPr="00D12606">
              <w:rPr>
                <w:bCs/>
                <w:lang w:val="en-GB"/>
              </w:rPr>
              <w:t>D</w:t>
            </w:r>
            <w:r w:rsidRPr="00114F6D">
              <w:rPr>
                <w:bCs/>
                <w:lang w:val="en-GB"/>
              </w:rPr>
              <w:t xml:space="preserve"> Mackenzie asked whether the “Just One Hour” initiative </w:t>
            </w:r>
            <w:r w:rsidR="00B45049">
              <w:rPr>
                <w:bCs/>
                <w:lang w:val="en-GB"/>
              </w:rPr>
              <w:t xml:space="preserve">had </w:t>
            </w:r>
            <w:r w:rsidR="001C3AD5">
              <w:rPr>
                <w:bCs/>
                <w:lang w:val="en-GB"/>
              </w:rPr>
              <w:t>impacted overall of staff wellbeing and if this could be evidenced.</w:t>
            </w:r>
          </w:p>
          <w:p w14:paraId="14BA3EBF" w14:textId="237EBA53" w:rsidR="006E01FF" w:rsidRPr="00D12606" w:rsidRDefault="006E01FF" w:rsidP="00114F6D">
            <w:pPr>
              <w:pStyle w:val="TableParagraph"/>
              <w:rPr>
                <w:bCs/>
                <w:lang w:val="en-GB"/>
              </w:rPr>
            </w:pPr>
            <w:r w:rsidRPr="00D12606">
              <w:rPr>
                <w:bCs/>
                <w:lang w:val="en-GB"/>
              </w:rPr>
              <w:lastRenderedPageBreak/>
              <w:t>S</w:t>
            </w:r>
            <w:r w:rsidRPr="00114F6D">
              <w:rPr>
                <w:bCs/>
                <w:lang w:val="en-GB"/>
              </w:rPr>
              <w:t xml:space="preserve"> Taylor </w:t>
            </w:r>
            <w:r w:rsidR="001C3AD5">
              <w:rPr>
                <w:bCs/>
                <w:lang w:val="en-GB"/>
              </w:rPr>
              <w:t xml:space="preserve">noted that a direct correlation was difficult to establish, but that interest in activities and feedback from staff of the benefits had been strong. </w:t>
            </w:r>
            <w:r w:rsidR="000F40AA">
              <w:rPr>
                <w:bCs/>
                <w:lang w:val="en-GB"/>
              </w:rPr>
              <w:t xml:space="preserve">S Taylor </w:t>
            </w:r>
            <w:r w:rsidRPr="00114F6D">
              <w:rPr>
                <w:bCs/>
                <w:lang w:val="en-GB"/>
              </w:rPr>
              <w:t xml:space="preserve">explained that a working group on health and wellbeing had </w:t>
            </w:r>
            <w:r w:rsidR="000F40AA">
              <w:rPr>
                <w:bCs/>
                <w:lang w:val="en-GB"/>
              </w:rPr>
              <w:t xml:space="preserve">also </w:t>
            </w:r>
            <w:r w:rsidRPr="00114F6D">
              <w:rPr>
                <w:bCs/>
                <w:lang w:val="en-GB"/>
              </w:rPr>
              <w:t xml:space="preserve">been established, and feedback from participants showed a significant positive shift. Staff response had been strong and encouraging. </w:t>
            </w:r>
          </w:p>
          <w:p w14:paraId="2590CE9C" w14:textId="77777777" w:rsidR="006E01FF" w:rsidRPr="00D12606" w:rsidRDefault="006E01FF" w:rsidP="00114F6D">
            <w:pPr>
              <w:pStyle w:val="TableParagraph"/>
              <w:rPr>
                <w:bCs/>
                <w:lang w:val="en-GB"/>
              </w:rPr>
            </w:pPr>
          </w:p>
          <w:p w14:paraId="44CA0673" w14:textId="4C080FA8" w:rsidR="006E01FF" w:rsidRPr="00D12606" w:rsidRDefault="006E01FF" w:rsidP="00114F6D">
            <w:pPr>
              <w:pStyle w:val="TableParagraph"/>
              <w:rPr>
                <w:bCs/>
                <w:lang w:val="en-GB"/>
              </w:rPr>
            </w:pPr>
            <w:r w:rsidRPr="00D12606">
              <w:rPr>
                <w:bCs/>
                <w:lang w:val="en-GB"/>
              </w:rPr>
              <w:t>S</w:t>
            </w:r>
            <w:r w:rsidRPr="00114F6D">
              <w:rPr>
                <w:bCs/>
                <w:lang w:val="en-GB"/>
              </w:rPr>
              <w:t xml:space="preserve"> Oakley </w:t>
            </w:r>
            <w:r w:rsidRPr="00D12606">
              <w:rPr>
                <w:bCs/>
                <w:lang w:val="en-GB"/>
              </w:rPr>
              <w:t>questioned if data could</w:t>
            </w:r>
            <w:r w:rsidRPr="00114F6D">
              <w:rPr>
                <w:bCs/>
                <w:lang w:val="en-GB"/>
              </w:rPr>
              <w:t xml:space="preserve"> be provided to evidence this link and to support the continuation of the initiative.</w:t>
            </w:r>
          </w:p>
          <w:p w14:paraId="1D08B2E9" w14:textId="77777777" w:rsidR="006E01FF" w:rsidRPr="00114F6D" w:rsidRDefault="006E01FF" w:rsidP="00114F6D">
            <w:pPr>
              <w:pStyle w:val="TableParagraph"/>
              <w:rPr>
                <w:bCs/>
                <w:lang w:val="en-GB"/>
              </w:rPr>
            </w:pPr>
          </w:p>
          <w:p w14:paraId="156642CC" w14:textId="49571985" w:rsidR="006E01FF" w:rsidRPr="00D12606" w:rsidRDefault="006E01FF" w:rsidP="00114F6D">
            <w:pPr>
              <w:pStyle w:val="TableParagraph"/>
              <w:rPr>
                <w:bCs/>
                <w:lang w:val="en-GB"/>
              </w:rPr>
            </w:pPr>
            <w:r w:rsidRPr="00D12606">
              <w:rPr>
                <w:bCs/>
                <w:lang w:val="en-GB"/>
              </w:rPr>
              <w:t>C</w:t>
            </w:r>
            <w:r w:rsidRPr="00114F6D">
              <w:rPr>
                <w:bCs/>
                <w:lang w:val="en-GB"/>
              </w:rPr>
              <w:t xml:space="preserve"> Cusick noted with interest that some former employees from the Service Design Academy had established their own business. </w:t>
            </w:r>
            <w:r w:rsidRPr="00D12606">
              <w:rPr>
                <w:bCs/>
                <w:lang w:val="en-GB"/>
              </w:rPr>
              <w:t xml:space="preserve">S </w:t>
            </w:r>
            <w:r w:rsidRPr="00114F6D">
              <w:rPr>
                <w:bCs/>
                <w:lang w:val="en-GB"/>
              </w:rPr>
              <w:t>Taylor confirmed this and added that the College had supported the process by transferring the relevant intellectual property and materials.</w:t>
            </w:r>
          </w:p>
          <w:p w14:paraId="5D14C499" w14:textId="2F9AC744" w:rsidR="006E01FF" w:rsidRDefault="006E01FF" w:rsidP="00923852">
            <w:pPr>
              <w:pStyle w:val="TableParagraph"/>
              <w:rPr>
                <w:b/>
              </w:rPr>
            </w:pPr>
            <w:r w:rsidRPr="00D12606">
              <w:rPr>
                <w:bCs/>
                <w:lang w:val="en-GB"/>
              </w:rPr>
              <w:br/>
              <w:t xml:space="preserve">D Mackenzie welcomed the report. </w:t>
            </w:r>
          </w:p>
          <w:p w14:paraId="6806A37A" w14:textId="77777777" w:rsidR="006E01FF" w:rsidRPr="00D76C33" w:rsidRDefault="006E01FF" w:rsidP="00923852">
            <w:pPr>
              <w:pStyle w:val="TableParagraph"/>
              <w:rPr>
                <w:b/>
              </w:rPr>
            </w:pPr>
          </w:p>
        </w:tc>
      </w:tr>
      <w:tr w:rsidR="006E01FF" w:rsidRPr="00D76C33" w14:paraId="43965609" w14:textId="77777777" w:rsidTr="006E01FF">
        <w:trPr>
          <w:trHeight w:val="505"/>
        </w:trPr>
        <w:tc>
          <w:tcPr>
            <w:tcW w:w="567" w:type="dxa"/>
          </w:tcPr>
          <w:p w14:paraId="075D1C43" w14:textId="77777777" w:rsidR="006E01FF" w:rsidRPr="00D76C33" w:rsidRDefault="006E01FF" w:rsidP="00824E78">
            <w:pPr>
              <w:pStyle w:val="TableParagraph"/>
              <w:numPr>
                <w:ilvl w:val="0"/>
                <w:numId w:val="1"/>
              </w:numPr>
              <w:ind w:left="0" w:firstLine="0"/>
              <w:jc w:val="center"/>
              <w:rPr>
                <w:b/>
              </w:rPr>
            </w:pPr>
          </w:p>
        </w:tc>
        <w:tc>
          <w:tcPr>
            <w:tcW w:w="9356" w:type="dxa"/>
          </w:tcPr>
          <w:p w14:paraId="1A11F3B5" w14:textId="77777777" w:rsidR="006E01FF" w:rsidRDefault="006E01FF" w:rsidP="00923852">
            <w:pPr>
              <w:pStyle w:val="TableParagraph"/>
              <w:rPr>
                <w:b/>
              </w:rPr>
            </w:pPr>
            <w:r>
              <w:rPr>
                <w:b/>
              </w:rPr>
              <w:t>NATIONAL BARGAINING UPDATE</w:t>
            </w:r>
          </w:p>
          <w:p w14:paraId="6EA7D8E2" w14:textId="77777777" w:rsidR="006E01FF" w:rsidRDefault="006E01FF" w:rsidP="00923852">
            <w:pPr>
              <w:pStyle w:val="TableParagraph"/>
              <w:rPr>
                <w:b/>
              </w:rPr>
            </w:pPr>
          </w:p>
          <w:p w14:paraId="6EE336AD" w14:textId="77777777" w:rsidR="0016608E" w:rsidRDefault="006E01FF" w:rsidP="009A770F">
            <w:pPr>
              <w:pStyle w:val="TableParagraph"/>
              <w:rPr>
                <w:bCs/>
                <w:lang w:val="en-GB"/>
              </w:rPr>
            </w:pPr>
            <w:r w:rsidRPr="009A770F">
              <w:rPr>
                <w:bCs/>
                <w:lang w:val="en-GB"/>
              </w:rPr>
              <w:t>S Taylor advised that the multi-year agreement had enabled progress in several areas</w:t>
            </w:r>
            <w:r w:rsidR="00C447E8">
              <w:rPr>
                <w:bCs/>
                <w:lang w:val="en-GB"/>
              </w:rPr>
              <w:t xml:space="preserve"> for academic staff</w:t>
            </w:r>
            <w:r w:rsidRPr="009A770F">
              <w:rPr>
                <w:bCs/>
                <w:lang w:val="en-GB"/>
              </w:rPr>
              <w:t xml:space="preserve">. </w:t>
            </w:r>
          </w:p>
          <w:p w14:paraId="54E9EE68" w14:textId="77777777" w:rsidR="0016608E" w:rsidRDefault="0016608E" w:rsidP="009A770F">
            <w:pPr>
              <w:pStyle w:val="TableParagraph"/>
              <w:rPr>
                <w:bCs/>
                <w:lang w:val="en-GB"/>
              </w:rPr>
            </w:pPr>
          </w:p>
          <w:p w14:paraId="39542D29" w14:textId="0979ECEB" w:rsidR="006E01FF" w:rsidRPr="00D0183D" w:rsidRDefault="0016608E" w:rsidP="009A770F">
            <w:pPr>
              <w:pStyle w:val="TableParagraph"/>
              <w:rPr>
                <w:bCs/>
                <w:lang w:val="en-GB"/>
              </w:rPr>
            </w:pPr>
            <w:r>
              <w:rPr>
                <w:bCs/>
                <w:lang w:val="en-GB"/>
              </w:rPr>
              <w:t>The p</w:t>
            </w:r>
            <w:r w:rsidR="006E01FF" w:rsidRPr="009A770F">
              <w:rPr>
                <w:bCs/>
                <w:lang w:val="en-GB"/>
              </w:rPr>
              <w:t>ay award</w:t>
            </w:r>
            <w:r>
              <w:rPr>
                <w:bCs/>
                <w:lang w:val="en-GB"/>
              </w:rPr>
              <w:t xml:space="preserve"> discussions for support staff</w:t>
            </w:r>
            <w:r w:rsidR="006E01FF" w:rsidRPr="009A770F">
              <w:rPr>
                <w:bCs/>
                <w:lang w:val="en-GB"/>
              </w:rPr>
              <w:t xml:space="preserve"> were moving forward, although negotiations had been paused pending confirmation of funding support from the Scottish Government. Once funding was confirmed, the agreement would be issued to employees for acceptance.</w:t>
            </w:r>
          </w:p>
          <w:p w14:paraId="7C1B3708" w14:textId="77777777" w:rsidR="006E01FF" w:rsidRPr="009A770F" w:rsidRDefault="006E01FF" w:rsidP="009A770F">
            <w:pPr>
              <w:pStyle w:val="TableParagraph"/>
              <w:rPr>
                <w:bCs/>
                <w:lang w:val="en-GB"/>
              </w:rPr>
            </w:pPr>
          </w:p>
          <w:p w14:paraId="6D555C9A" w14:textId="0B6B045E" w:rsidR="006E01FF" w:rsidRPr="00D0183D" w:rsidRDefault="006E01FF" w:rsidP="009A770F">
            <w:pPr>
              <w:pStyle w:val="TableParagraph"/>
              <w:rPr>
                <w:bCs/>
                <w:lang w:val="en-GB"/>
              </w:rPr>
            </w:pPr>
            <w:r w:rsidRPr="00D0183D">
              <w:rPr>
                <w:bCs/>
                <w:lang w:val="en-GB"/>
              </w:rPr>
              <w:t xml:space="preserve">S Taylor </w:t>
            </w:r>
            <w:r w:rsidRPr="009A770F">
              <w:rPr>
                <w:bCs/>
                <w:lang w:val="en-GB"/>
              </w:rPr>
              <w:t xml:space="preserve">reported that the national job evaluation project had recommenced following changes in personnel and to the project plan. Although the project remained complex, the revised arrangements provided a greater likelihood of success. The Government had confirmed that funding for the project continued to be </w:t>
            </w:r>
            <w:r w:rsidR="00C85CDA">
              <w:rPr>
                <w:bCs/>
                <w:lang w:val="en-GB"/>
              </w:rPr>
              <w:t xml:space="preserve">available </w:t>
            </w:r>
            <w:r w:rsidRPr="009A770F">
              <w:rPr>
                <w:bCs/>
                <w:lang w:val="en-GB"/>
              </w:rPr>
              <w:t xml:space="preserve">and would be released upon implementation. The initiative aimed to establish clarity and consistency in how job evaluation was undertaken across the sector, with a standardised framework for assessing roles. </w:t>
            </w:r>
            <w:r w:rsidR="00306E75">
              <w:rPr>
                <w:bCs/>
                <w:lang w:val="en-GB"/>
              </w:rPr>
              <w:t xml:space="preserve">Arrangements were also being progressed to </w:t>
            </w:r>
            <w:r w:rsidRPr="009A770F">
              <w:rPr>
                <w:bCs/>
                <w:lang w:val="en-GB"/>
              </w:rPr>
              <w:t>use an independent third party to support the evaluation process.</w:t>
            </w:r>
          </w:p>
          <w:p w14:paraId="6A7C1643" w14:textId="77777777" w:rsidR="006E01FF" w:rsidRPr="009A770F" w:rsidRDefault="006E01FF" w:rsidP="009A770F">
            <w:pPr>
              <w:pStyle w:val="TableParagraph"/>
              <w:rPr>
                <w:b/>
                <w:lang w:val="en-GB"/>
              </w:rPr>
            </w:pPr>
          </w:p>
          <w:p w14:paraId="7EDF9FE8" w14:textId="77777777" w:rsidR="00306E75" w:rsidRDefault="006E01FF" w:rsidP="009A770F">
            <w:pPr>
              <w:pStyle w:val="TableParagraph"/>
              <w:rPr>
                <w:bCs/>
                <w:lang w:val="en-GB"/>
              </w:rPr>
            </w:pPr>
            <w:r w:rsidRPr="009A770F">
              <w:rPr>
                <w:bCs/>
                <w:lang w:val="en-GB"/>
              </w:rPr>
              <w:t xml:space="preserve">In discussion, </w:t>
            </w:r>
            <w:r w:rsidRPr="00C36F9D">
              <w:rPr>
                <w:bCs/>
                <w:lang w:val="en-GB"/>
              </w:rPr>
              <w:t>C</w:t>
            </w:r>
            <w:r w:rsidRPr="009A770F">
              <w:rPr>
                <w:bCs/>
                <w:lang w:val="en-GB"/>
              </w:rPr>
              <w:t xml:space="preserve"> Cusick queried whether the project could impact the salary budget. </w:t>
            </w:r>
            <w:r w:rsidRPr="00C36F9D">
              <w:rPr>
                <w:bCs/>
                <w:lang w:val="en-GB"/>
              </w:rPr>
              <w:t xml:space="preserve">S </w:t>
            </w:r>
            <w:r w:rsidRPr="009A770F">
              <w:rPr>
                <w:bCs/>
                <w:lang w:val="en-GB"/>
              </w:rPr>
              <w:t>Taylor confirmed that Government funding had been allocated for this purpose but noted that the detail would still require further negotiation. He added that national discussions on a wider agreement were ongoing</w:t>
            </w:r>
            <w:r w:rsidR="00306E75">
              <w:rPr>
                <w:bCs/>
                <w:lang w:val="en-GB"/>
              </w:rPr>
              <w:t>.</w:t>
            </w:r>
          </w:p>
          <w:p w14:paraId="6835410D" w14:textId="77777777" w:rsidR="00306E75" w:rsidRDefault="00306E75" w:rsidP="009A770F">
            <w:pPr>
              <w:pStyle w:val="TableParagraph"/>
              <w:rPr>
                <w:bCs/>
                <w:lang w:val="en-GB"/>
              </w:rPr>
            </w:pPr>
          </w:p>
          <w:p w14:paraId="7ECE708F" w14:textId="1F50746B" w:rsidR="006E01FF" w:rsidRPr="00C36F9D" w:rsidRDefault="00306E75" w:rsidP="009A770F">
            <w:pPr>
              <w:pStyle w:val="TableParagraph"/>
              <w:rPr>
                <w:bCs/>
                <w:lang w:val="en-GB"/>
              </w:rPr>
            </w:pPr>
            <w:r>
              <w:rPr>
                <w:bCs/>
                <w:lang w:val="en-GB"/>
              </w:rPr>
              <w:t>S Taylor noted discussions nationally around changes to the national recognition and procedure agreement</w:t>
            </w:r>
            <w:r w:rsidR="006E01FF" w:rsidRPr="009A770F">
              <w:rPr>
                <w:bCs/>
                <w:lang w:val="en-GB"/>
              </w:rPr>
              <w:t xml:space="preserve"> and </w:t>
            </w:r>
            <w:r w:rsidR="008C4C9F">
              <w:rPr>
                <w:bCs/>
                <w:lang w:val="en-GB"/>
              </w:rPr>
              <w:t xml:space="preserve">stated </w:t>
            </w:r>
            <w:r w:rsidR="006E01FF" w:rsidRPr="009A770F">
              <w:rPr>
                <w:bCs/>
                <w:lang w:val="en-GB"/>
              </w:rPr>
              <w:t>that a technical decision of the Board might be required once the proposals were finalised.</w:t>
            </w:r>
          </w:p>
          <w:p w14:paraId="1E0F555C" w14:textId="77777777" w:rsidR="006E01FF" w:rsidRPr="00C36F9D" w:rsidRDefault="006E01FF" w:rsidP="009A770F">
            <w:pPr>
              <w:pStyle w:val="TableParagraph"/>
              <w:rPr>
                <w:bCs/>
                <w:lang w:val="en-GB"/>
              </w:rPr>
            </w:pPr>
          </w:p>
          <w:p w14:paraId="2752C72E" w14:textId="67AE9C22" w:rsidR="006E01FF" w:rsidRDefault="006E01FF" w:rsidP="00923852">
            <w:pPr>
              <w:pStyle w:val="TableParagraph"/>
              <w:rPr>
                <w:b/>
              </w:rPr>
            </w:pPr>
            <w:r w:rsidRPr="00C36F9D">
              <w:rPr>
                <w:bCs/>
                <w:lang w:val="en-GB"/>
              </w:rPr>
              <w:t xml:space="preserve">D Mackenzie praised the report. </w:t>
            </w:r>
          </w:p>
          <w:p w14:paraId="3DBF3787" w14:textId="77777777" w:rsidR="006E01FF" w:rsidRDefault="006E01FF" w:rsidP="00923852">
            <w:pPr>
              <w:pStyle w:val="TableParagraph"/>
              <w:rPr>
                <w:b/>
              </w:rPr>
            </w:pPr>
          </w:p>
        </w:tc>
      </w:tr>
      <w:tr w:rsidR="006E01FF" w:rsidRPr="00D76C33" w14:paraId="6908705F" w14:textId="77777777" w:rsidTr="006E01FF">
        <w:trPr>
          <w:trHeight w:val="505"/>
        </w:trPr>
        <w:tc>
          <w:tcPr>
            <w:tcW w:w="567" w:type="dxa"/>
          </w:tcPr>
          <w:p w14:paraId="796F6724" w14:textId="77777777" w:rsidR="006E01FF" w:rsidRPr="00D76C33" w:rsidRDefault="006E01FF" w:rsidP="00824E78">
            <w:pPr>
              <w:pStyle w:val="TableParagraph"/>
              <w:numPr>
                <w:ilvl w:val="0"/>
                <w:numId w:val="1"/>
              </w:numPr>
              <w:ind w:left="0" w:firstLine="0"/>
              <w:jc w:val="center"/>
              <w:rPr>
                <w:b/>
              </w:rPr>
            </w:pPr>
          </w:p>
        </w:tc>
        <w:tc>
          <w:tcPr>
            <w:tcW w:w="9356" w:type="dxa"/>
          </w:tcPr>
          <w:p w14:paraId="4FDF37C8" w14:textId="77777777" w:rsidR="006E01FF" w:rsidRDefault="006E01FF" w:rsidP="00923852">
            <w:pPr>
              <w:pStyle w:val="TableParagraph"/>
              <w:rPr>
                <w:b/>
              </w:rPr>
            </w:pPr>
            <w:r>
              <w:rPr>
                <w:b/>
              </w:rPr>
              <w:t>HEALTH &amp; SAFETY ANNUAL REPORT</w:t>
            </w:r>
          </w:p>
          <w:p w14:paraId="6007CF30" w14:textId="77777777" w:rsidR="006E01FF" w:rsidRDefault="006E01FF" w:rsidP="00923852">
            <w:pPr>
              <w:pStyle w:val="TableParagraph"/>
              <w:rPr>
                <w:b/>
              </w:rPr>
            </w:pPr>
          </w:p>
          <w:p w14:paraId="30E18E2C" w14:textId="36B7E5E2" w:rsidR="006E01FF" w:rsidRPr="000C0CB9" w:rsidRDefault="006E01FF" w:rsidP="00175143">
            <w:pPr>
              <w:pStyle w:val="TableParagraph"/>
              <w:rPr>
                <w:bCs/>
                <w:lang w:val="en-GB"/>
              </w:rPr>
            </w:pPr>
            <w:r w:rsidRPr="00175143">
              <w:rPr>
                <w:bCs/>
                <w:lang w:val="en-GB"/>
              </w:rPr>
              <w:t>S Fowler provided an overview of activity over the past 12 months, during which a wide range of services had been delivered. These included one-to-one training sessions, training for caretaker teams, and the delivery of a number of group sessions. Positive feedback had been received from participants, and statistical reporting demonstrated a growing awareness of health and safety matters.</w:t>
            </w:r>
          </w:p>
          <w:p w14:paraId="37F04200" w14:textId="77777777" w:rsidR="006E01FF" w:rsidRPr="00175143" w:rsidRDefault="006E01FF" w:rsidP="00175143">
            <w:pPr>
              <w:pStyle w:val="TableParagraph"/>
              <w:rPr>
                <w:b/>
                <w:lang w:val="en-GB"/>
              </w:rPr>
            </w:pPr>
          </w:p>
          <w:p w14:paraId="5817FC5C" w14:textId="2B6212A3" w:rsidR="006E01FF" w:rsidRPr="00146D02" w:rsidRDefault="006E01FF" w:rsidP="00175143">
            <w:pPr>
              <w:pStyle w:val="TableParagraph"/>
              <w:rPr>
                <w:bCs/>
                <w:lang w:val="en-GB"/>
              </w:rPr>
            </w:pPr>
            <w:r w:rsidRPr="00146D02">
              <w:rPr>
                <w:bCs/>
                <w:lang w:val="en-GB"/>
              </w:rPr>
              <w:t>S Fowler</w:t>
            </w:r>
            <w:r w:rsidRPr="00175143">
              <w:rPr>
                <w:bCs/>
                <w:lang w:val="en-GB"/>
              </w:rPr>
              <w:t xml:space="preserve"> confirmed that recent fire evacuation exercises across all </w:t>
            </w:r>
            <w:r w:rsidRPr="00146D02">
              <w:rPr>
                <w:bCs/>
                <w:lang w:val="en-GB"/>
              </w:rPr>
              <w:t xml:space="preserve">three </w:t>
            </w:r>
            <w:r w:rsidRPr="00175143">
              <w:rPr>
                <w:bCs/>
                <w:lang w:val="en-GB"/>
              </w:rPr>
              <w:t>campuses had been successfully completed, with safe evacuation achieved in each instance. With regard</w:t>
            </w:r>
            <w:r w:rsidRPr="00146D02">
              <w:rPr>
                <w:bCs/>
                <w:lang w:val="en-GB"/>
              </w:rPr>
              <w:t>s</w:t>
            </w:r>
            <w:r w:rsidRPr="00175143">
              <w:rPr>
                <w:bCs/>
                <w:lang w:val="en-GB"/>
              </w:rPr>
              <w:t xml:space="preserve"> to first aid provision, </w:t>
            </w:r>
            <w:r w:rsidRPr="00146D02">
              <w:rPr>
                <w:bCs/>
                <w:lang w:val="en-GB"/>
              </w:rPr>
              <w:t>S</w:t>
            </w:r>
            <w:r w:rsidRPr="00175143">
              <w:rPr>
                <w:bCs/>
                <w:lang w:val="en-GB"/>
              </w:rPr>
              <w:t xml:space="preserve"> Fowler advised that there were currently 62 trained first aiders. He acknowledged that the shift to more home and hybrid working had created challenges in maintaining coverage, but efforts continued to recruit and train additional volunteers to ensure provision remained in place.</w:t>
            </w:r>
          </w:p>
          <w:p w14:paraId="3DA4B882" w14:textId="77777777" w:rsidR="006E01FF" w:rsidRPr="00175143" w:rsidRDefault="006E01FF" w:rsidP="00175143">
            <w:pPr>
              <w:pStyle w:val="TableParagraph"/>
              <w:rPr>
                <w:b/>
                <w:lang w:val="en-GB"/>
              </w:rPr>
            </w:pPr>
          </w:p>
          <w:p w14:paraId="2B392F1D" w14:textId="6096330A" w:rsidR="006E01FF" w:rsidRPr="00F52246" w:rsidRDefault="006E01FF" w:rsidP="00175143">
            <w:pPr>
              <w:pStyle w:val="TableParagraph"/>
              <w:rPr>
                <w:bCs/>
                <w:lang w:val="en-GB"/>
              </w:rPr>
            </w:pPr>
            <w:r w:rsidRPr="00F52246">
              <w:rPr>
                <w:bCs/>
                <w:lang w:val="en-GB"/>
              </w:rPr>
              <w:lastRenderedPageBreak/>
              <w:t>S</w:t>
            </w:r>
            <w:r w:rsidRPr="00175143">
              <w:rPr>
                <w:bCs/>
                <w:lang w:val="en-GB"/>
              </w:rPr>
              <w:t xml:space="preserve"> Fowler reported the launch of the “See It, Hear It, Say It” campaign, which included a transition to new A3 signage covering fire action, first aid, and near-miss hazard reporting. The campaign was designed to streamline processes and included the introduction of campus-specific QR codes for first aid contacts. </w:t>
            </w:r>
            <w:r w:rsidRPr="00F52246">
              <w:rPr>
                <w:bCs/>
                <w:lang w:val="en-GB"/>
              </w:rPr>
              <w:t>S Fowler stated t</w:t>
            </w:r>
            <w:r w:rsidRPr="00175143">
              <w:rPr>
                <w:bCs/>
                <w:lang w:val="en-GB"/>
              </w:rPr>
              <w:t xml:space="preserve">hese would be displayed across </w:t>
            </w:r>
            <w:r w:rsidRPr="00F52246">
              <w:rPr>
                <w:bCs/>
                <w:lang w:val="en-GB"/>
              </w:rPr>
              <w:t>each</w:t>
            </w:r>
            <w:r w:rsidRPr="00175143">
              <w:rPr>
                <w:bCs/>
                <w:lang w:val="en-GB"/>
              </w:rPr>
              <w:t xml:space="preserve"> campus</w:t>
            </w:r>
            <w:r w:rsidRPr="00F52246">
              <w:rPr>
                <w:bCs/>
                <w:lang w:val="en-GB"/>
              </w:rPr>
              <w:t xml:space="preserve"> </w:t>
            </w:r>
            <w:r w:rsidRPr="00175143">
              <w:rPr>
                <w:bCs/>
                <w:lang w:val="en-GB"/>
              </w:rPr>
              <w:t>to improve accessibility and address user frustrations.</w:t>
            </w:r>
          </w:p>
          <w:p w14:paraId="0E5C028C" w14:textId="77777777" w:rsidR="006E01FF" w:rsidRPr="00175143" w:rsidRDefault="006E01FF" w:rsidP="00175143">
            <w:pPr>
              <w:pStyle w:val="TableParagraph"/>
              <w:rPr>
                <w:b/>
                <w:lang w:val="en-GB"/>
              </w:rPr>
            </w:pPr>
          </w:p>
          <w:p w14:paraId="1DCCABFC" w14:textId="77777777" w:rsidR="002A62F7" w:rsidRDefault="006E01FF" w:rsidP="00175143">
            <w:pPr>
              <w:pStyle w:val="TableParagraph"/>
              <w:rPr>
                <w:bCs/>
                <w:lang w:val="en-GB"/>
              </w:rPr>
            </w:pPr>
            <w:r w:rsidRPr="00175143">
              <w:rPr>
                <w:bCs/>
                <w:lang w:val="en-GB"/>
              </w:rPr>
              <w:t xml:space="preserve">In terms of health and safety performance, </w:t>
            </w:r>
            <w:r w:rsidRPr="000868A9">
              <w:rPr>
                <w:bCs/>
                <w:lang w:val="en-GB"/>
              </w:rPr>
              <w:t>S</w:t>
            </w:r>
            <w:r w:rsidRPr="00175143">
              <w:rPr>
                <w:bCs/>
                <w:lang w:val="en-GB"/>
              </w:rPr>
              <w:t xml:space="preserve"> Fowler highlighted that 29 accidents and 300 near misses had been recorded in the reporting period.</w:t>
            </w:r>
          </w:p>
          <w:p w14:paraId="6ACF05EB" w14:textId="58144CA1" w:rsidR="006E01FF" w:rsidRPr="000868A9" w:rsidRDefault="006E01FF" w:rsidP="00175143">
            <w:pPr>
              <w:pStyle w:val="TableParagraph"/>
              <w:rPr>
                <w:bCs/>
                <w:lang w:val="en-GB"/>
              </w:rPr>
            </w:pPr>
            <w:r w:rsidRPr="00175143">
              <w:rPr>
                <w:bCs/>
                <w:lang w:val="en-GB"/>
              </w:rPr>
              <w:t xml:space="preserve"> </w:t>
            </w:r>
          </w:p>
          <w:p w14:paraId="4BD12F45" w14:textId="2322F6E4" w:rsidR="006E01FF" w:rsidRDefault="006E01FF" w:rsidP="00175143">
            <w:pPr>
              <w:pStyle w:val="TableParagraph"/>
              <w:rPr>
                <w:bCs/>
                <w:lang w:val="en-GB"/>
              </w:rPr>
            </w:pPr>
            <w:r w:rsidRPr="00175143">
              <w:rPr>
                <w:bCs/>
                <w:lang w:val="en-GB"/>
              </w:rPr>
              <w:t>RIDDOR incidents had reduced from seven in the previous year to two in the current year, reflecting positive progress. However, accidents overall had increased by 43%. He noted that while incident numbers had risen, these had not typically resulted in extended staff absence, and the College’s campaign efforts appeared to be moving in the right direction.</w:t>
            </w:r>
          </w:p>
          <w:p w14:paraId="2A82A72D" w14:textId="77777777" w:rsidR="006E01FF" w:rsidRPr="000868A9" w:rsidRDefault="006E01FF" w:rsidP="00175143">
            <w:pPr>
              <w:pStyle w:val="TableParagraph"/>
              <w:rPr>
                <w:bCs/>
                <w:lang w:val="en-GB"/>
              </w:rPr>
            </w:pPr>
          </w:p>
          <w:p w14:paraId="4BA1993F" w14:textId="77777777" w:rsidR="006E01FF" w:rsidRPr="00971A38" w:rsidRDefault="006E01FF" w:rsidP="005A4781">
            <w:pPr>
              <w:pStyle w:val="TableParagraph"/>
              <w:rPr>
                <w:bCs/>
                <w:lang w:val="en-GB"/>
              </w:rPr>
            </w:pPr>
            <w:r w:rsidRPr="00971A38">
              <w:rPr>
                <w:bCs/>
                <w:lang w:val="en-GB"/>
              </w:rPr>
              <w:t xml:space="preserve">B </w:t>
            </w:r>
            <w:r w:rsidRPr="005A4781">
              <w:rPr>
                <w:bCs/>
                <w:lang w:val="en-GB"/>
              </w:rPr>
              <w:t xml:space="preserve">Lawrie observed that the progress charts were particularly helpful and expressed support for the introduction of the QR system for first aid access. He enquired whether community first response provision was available, and S Fowler confirmed that CPR training had been delivered. </w:t>
            </w:r>
          </w:p>
          <w:p w14:paraId="18B1CD22" w14:textId="77777777" w:rsidR="006E01FF" w:rsidRPr="00971A38" w:rsidRDefault="006E01FF" w:rsidP="005A4781">
            <w:pPr>
              <w:pStyle w:val="TableParagraph"/>
              <w:rPr>
                <w:bCs/>
                <w:lang w:val="en-GB"/>
              </w:rPr>
            </w:pPr>
          </w:p>
          <w:p w14:paraId="11E967BF" w14:textId="7B1DFB98" w:rsidR="006E01FF" w:rsidRPr="005A4781" w:rsidRDefault="006E01FF" w:rsidP="005A4781">
            <w:pPr>
              <w:pStyle w:val="TableParagraph"/>
              <w:rPr>
                <w:bCs/>
                <w:lang w:val="en-GB"/>
              </w:rPr>
            </w:pPr>
            <w:r w:rsidRPr="00971A38">
              <w:rPr>
                <w:bCs/>
                <w:lang w:val="en-GB"/>
              </w:rPr>
              <w:t xml:space="preserve">B </w:t>
            </w:r>
            <w:r w:rsidRPr="005A4781">
              <w:rPr>
                <w:bCs/>
                <w:lang w:val="en-GB"/>
              </w:rPr>
              <w:t xml:space="preserve">Lawrie further sought clarification on the PEEP report, noting that Gardyne Campus had 33 Personal Emergency Evacuation Plans. </w:t>
            </w:r>
            <w:r w:rsidRPr="00971A38">
              <w:rPr>
                <w:bCs/>
                <w:lang w:val="en-GB"/>
              </w:rPr>
              <w:t>S</w:t>
            </w:r>
            <w:r w:rsidRPr="005A4781">
              <w:rPr>
                <w:bCs/>
                <w:lang w:val="en-GB"/>
              </w:rPr>
              <w:t xml:space="preserve"> Fowler explained that this figure reflected the number of supported education students </w:t>
            </w:r>
            <w:r w:rsidR="008F5DAE">
              <w:rPr>
                <w:bCs/>
                <w:lang w:val="en-GB"/>
              </w:rPr>
              <w:t xml:space="preserve">on the Gardyne campus </w:t>
            </w:r>
            <w:r w:rsidRPr="005A4781">
              <w:rPr>
                <w:bCs/>
                <w:lang w:val="en-GB"/>
              </w:rPr>
              <w:t>who were unable to use lifts</w:t>
            </w:r>
            <w:r w:rsidR="008F5DAE">
              <w:rPr>
                <w:bCs/>
                <w:lang w:val="en-GB"/>
              </w:rPr>
              <w:t xml:space="preserve"> during an emergency</w:t>
            </w:r>
            <w:r w:rsidRPr="005A4781">
              <w:rPr>
                <w:bCs/>
                <w:lang w:val="en-GB"/>
              </w:rPr>
              <w:t>.</w:t>
            </w:r>
          </w:p>
          <w:p w14:paraId="6B84628D" w14:textId="77777777" w:rsidR="006E01FF" w:rsidRDefault="006E01FF" w:rsidP="00175143">
            <w:pPr>
              <w:pStyle w:val="TableParagraph"/>
              <w:rPr>
                <w:b/>
                <w:lang w:val="en-GB"/>
              </w:rPr>
            </w:pPr>
          </w:p>
          <w:p w14:paraId="6CD7DF80" w14:textId="47E00DF4" w:rsidR="006E01FF" w:rsidRPr="000E3323" w:rsidRDefault="006E01FF" w:rsidP="00175143">
            <w:pPr>
              <w:pStyle w:val="TableParagraph"/>
              <w:rPr>
                <w:bCs/>
                <w:lang w:val="en-GB"/>
              </w:rPr>
            </w:pPr>
            <w:r w:rsidRPr="000E3323">
              <w:rPr>
                <w:bCs/>
                <w:lang w:val="en-GB"/>
              </w:rPr>
              <w:t xml:space="preserve">D </w:t>
            </w:r>
            <w:r w:rsidRPr="00175143">
              <w:rPr>
                <w:bCs/>
                <w:lang w:val="en-GB"/>
              </w:rPr>
              <w:t xml:space="preserve">Mackenzie queried the categorisation of verbal assault. </w:t>
            </w:r>
            <w:r w:rsidRPr="000E3323">
              <w:rPr>
                <w:bCs/>
                <w:lang w:val="en-GB"/>
              </w:rPr>
              <w:t>S</w:t>
            </w:r>
            <w:r w:rsidRPr="00175143">
              <w:rPr>
                <w:bCs/>
                <w:lang w:val="en-GB"/>
              </w:rPr>
              <w:t xml:space="preserve"> Fowler explained that such cases related to incidents where students with underlying issues had directed inappropriate or derogatory language towards staff or other students. These were recorded and processed in line with procedure.</w:t>
            </w:r>
          </w:p>
          <w:p w14:paraId="173EC042" w14:textId="77777777" w:rsidR="006E01FF" w:rsidRPr="00175143" w:rsidRDefault="006E01FF" w:rsidP="00175143">
            <w:pPr>
              <w:pStyle w:val="TableParagraph"/>
              <w:rPr>
                <w:b/>
                <w:lang w:val="en-GB"/>
              </w:rPr>
            </w:pPr>
          </w:p>
          <w:p w14:paraId="71BF644B" w14:textId="697CF9EE" w:rsidR="006E01FF" w:rsidRPr="00ED424C" w:rsidRDefault="006E01FF" w:rsidP="00175143">
            <w:pPr>
              <w:pStyle w:val="TableParagraph"/>
              <w:rPr>
                <w:bCs/>
                <w:lang w:val="en-GB"/>
              </w:rPr>
            </w:pPr>
            <w:r w:rsidRPr="00175143">
              <w:rPr>
                <w:bCs/>
                <w:lang w:val="en-GB"/>
              </w:rPr>
              <w:t xml:space="preserve">S Oakley noted the increase in incidents reported during February and March. </w:t>
            </w:r>
            <w:r w:rsidRPr="00ED424C">
              <w:rPr>
                <w:bCs/>
                <w:lang w:val="en-GB"/>
              </w:rPr>
              <w:t>S</w:t>
            </w:r>
            <w:r w:rsidRPr="00175143">
              <w:rPr>
                <w:bCs/>
                <w:lang w:val="en-GB"/>
              </w:rPr>
              <w:t xml:space="preserve"> Fowler confirmed this was under review, explaining that it was likely linked to unfamiliarity with new </w:t>
            </w:r>
            <w:r w:rsidR="00446C3D">
              <w:rPr>
                <w:bCs/>
                <w:lang w:val="en-GB"/>
              </w:rPr>
              <w:t>tasks following the change of semester and January starts</w:t>
            </w:r>
            <w:r w:rsidRPr="00175143">
              <w:rPr>
                <w:bCs/>
                <w:lang w:val="en-GB"/>
              </w:rPr>
              <w:t>.</w:t>
            </w:r>
          </w:p>
          <w:p w14:paraId="4781427E" w14:textId="77777777" w:rsidR="006E01FF" w:rsidRDefault="006E01FF" w:rsidP="00175143">
            <w:pPr>
              <w:pStyle w:val="TableParagraph"/>
              <w:rPr>
                <w:b/>
                <w:lang w:val="en-GB"/>
              </w:rPr>
            </w:pPr>
          </w:p>
          <w:p w14:paraId="737AB65C" w14:textId="720B4DBC" w:rsidR="006E01FF" w:rsidRDefault="006E01FF" w:rsidP="00923852">
            <w:pPr>
              <w:pStyle w:val="TableParagraph"/>
              <w:rPr>
                <w:b/>
              </w:rPr>
            </w:pPr>
            <w:r w:rsidRPr="00175143">
              <w:rPr>
                <w:bCs/>
                <w:lang w:val="en-GB"/>
              </w:rPr>
              <w:t xml:space="preserve">R Young remarked that </w:t>
            </w:r>
            <w:r w:rsidRPr="000D315A">
              <w:rPr>
                <w:bCs/>
                <w:lang w:val="en-GB"/>
              </w:rPr>
              <w:t xml:space="preserve">S </w:t>
            </w:r>
            <w:r w:rsidRPr="00175143">
              <w:rPr>
                <w:bCs/>
                <w:lang w:val="en-GB"/>
              </w:rPr>
              <w:t xml:space="preserve">Fowler’s enthusiasm was infectious, and S Hewitt </w:t>
            </w:r>
            <w:r w:rsidR="008E5E80">
              <w:rPr>
                <w:bCs/>
                <w:lang w:val="en-GB"/>
              </w:rPr>
              <w:t xml:space="preserve">endorsed this, thanking S Fowler </w:t>
            </w:r>
            <w:r w:rsidRPr="00175143">
              <w:rPr>
                <w:bCs/>
                <w:lang w:val="en-GB"/>
              </w:rPr>
              <w:t>for his commitment and approach.</w:t>
            </w:r>
          </w:p>
          <w:p w14:paraId="41D4C20B" w14:textId="77777777" w:rsidR="006E01FF" w:rsidRDefault="006E01FF" w:rsidP="00923852">
            <w:pPr>
              <w:pStyle w:val="TableParagraph"/>
              <w:rPr>
                <w:b/>
              </w:rPr>
            </w:pPr>
          </w:p>
        </w:tc>
      </w:tr>
      <w:tr w:rsidR="006E01FF" w:rsidRPr="00D76C33" w14:paraId="3BC3A10B" w14:textId="77777777" w:rsidTr="006E01FF">
        <w:trPr>
          <w:trHeight w:val="505"/>
        </w:trPr>
        <w:tc>
          <w:tcPr>
            <w:tcW w:w="567" w:type="dxa"/>
          </w:tcPr>
          <w:p w14:paraId="03CBC994" w14:textId="77777777" w:rsidR="006E01FF" w:rsidRPr="00D76C33" w:rsidRDefault="006E01FF" w:rsidP="00824E78">
            <w:pPr>
              <w:pStyle w:val="TableParagraph"/>
              <w:numPr>
                <w:ilvl w:val="0"/>
                <w:numId w:val="1"/>
              </w:numPr>
              <w:ind w:left="0" w:firstLine="0"/>
              <w:jc w:val="center"/>
              <w:rPr>
                <w:b/>
              </w:rPr>
            </w:pPr>
          </w:p>
        </w:tc>
        <w:tc>
          <w:tcPr>
            <w:tcW w:w="9356" w:type="dxa"/>
          </w:tcPr>
          <w:p w14:paraId="7A5E8306" w14:textId="77777777" w:rsidR="006E01FF" w:rsidRDefault="006E01FF" w:rsidP="00923852">
            <w:pPr>
              <w:pStyle w:val="TableParagraph"/>
              <w:rPr>
                <w:b/>
              </w:rPr>
            </w:pPr>
            <w:r w:rsidRPr="00D76C33">
              <w:rPr>
                <w:b/>
              </w:rPr>
              <w:t>STRATEGIC RISK REGISTER</w:t>
            </w:r>
          </w:p>
          <w:p w14:paraId="45EA2A4B" w14:textId="77777777" w:rsidR="006E01FF" w:rsidRDefault="006E01FF" w:rsidP="00923852">
            <w:pPr>
              <w:pStyle w:val="TableParagraph"/>
              <w:rPr>
                <w:b/>
              </w:rPr>
            </w:pPr>
          </w:p>
          <w:p w14:paraId="2A6F7E14" w14:textId="43A568D8" w:rsidR="006E01FF" w:rsidRPr="00A01EB8" w:rsidRDefault="006E01FF" w:rsidP="00923852">
            <w:pPr>
              <w:pStyle w:val="TableParagraph"/>
              <w:rPr>
                <w:bCs/>
              </w:rPr>
            </w:pPr>
            <w:r w:rsidRPr="00A01EB8">
              <w:rPr>
                <w:bCs/>
              </w:rPr>
              <w:t xml:space="preserve">S Taylor reported that no changes were proposed. </w:t>
            </w:r>
          </w:p>
          <w:p w14:paraId="6D92E0BD" w14:textId="77777777" w:rsidR="006E01FF" w:rsidRPr="00A01EB8" w:rsidRDefault="006E01FF" w:rsidP="00923852">
            <w:pPr>
              <w:pStyle w:val="TableParagraph"/>
              <w:rPr>
                <w:bCs/>
              </w:rPr>
            </w:pPr>
          </w:p>
          <w:p w14:paraId="29883EE9" w14:textId="7B121EB9" w:rsidR="006E01FF" w:rsidRDefault="006E01FF" w:rsidP="00923852">
            <w:pPr>
              <w:pStyle w:val="TableParagraph"/>
              <w:rPr>
                <w:b/>
              </w:rPr>
            </w:pPr>
            <w:r w:rsidRPr="00A01EB8">
              <w:rPr>
                <w:bCs/>
              </w:rPr>
              <w:t xml:space="preserve">D Mackenzie raised the matter of updating </w:t>
            </w:r>
            <w:r>
              <w:rPr>
                <w:bCs/>
              </w:rPr>
              <w:t xml:space="preserve">Committee </w:t>
            </w:r>
            <w:r w:rsidRPr="00A01EB8">
              <w:rPr>
                <w:bCs/>
              </w:rPr>
              <w:t>names on the Risk Register, and S</w:t>
            </w:r>
            <w:r w:rsidR="00D86A53">
              <w:rPr>
                <w:bCs/>
              </w:rPr>
              <w:t> </w:t>
            </w:r>
            <w:r w:rsidRPr="00A01EB8">
              <w:rPr>
                <w:bCs/>
              </w:rPr>
              <w:t>Taylor</w:t>
            </w:r>
            <w:r w:rsidR="00D86A53">
              <w:rPr>
                <w:bCs/>
              </w:rPr>
              <w:t xml:space="preserve"> confirmed this would be reviewed</w:t>
            </w:r>
            <w:r w:rsidRPr="00A01EB8">
              <w:rPr>
                <w:b/>
              </w:rPr>
              <w:t>.</w:t>
            </w:r>
            <w:r>
              <w:rPr>
                <w:b/>
              </w:rPr>
              <w:t xml:space="preserve"> S Taylor to progress.</w:t>
            </w:r>
          </w:p>
          <w:p w14:paraId="3C00D6CF" w14:textId="77777777" w:rsidR="006E01FF" w:rsidRPr="00D76C33" w:rsidRDefault="006E01FF" w:rsidP="00923852">
            <w:pPr>
              <w:pStyle w:val="TableParagraph"/>
              <w:rPr>
                <w:b/>
              </w:rPr>
            </w:pPr>
          </w:p>
        </w:tc>
      </w:tr>
      <w:tr w:rsidR="006E01FF" w:rsidRPr="00D76C33" w14:paraId="5FACF710" w14:textId="77777777" w:rsidTr="006E01FF">
        <w:trPr>
          <w:trHeight w:val="506"/>
        </w:trPr>
        <w:tc>
          <w:tcPr>
            <w:tcW w:w="567" w:type="dxa"/>
          </w:tcPr>
          <w:p w14:paraId="5B05EB4D" w14:textId="77777777" w:rsidR="006E01FF" w:rsidRPr="00D76C33" w:rsidRDefault="006E01FF" w:rsidP="00824E78">
            <w:pPr>
              <w:pStyle w:val="TableParagraph"/>
              <w:numPr>
                <w:ilvl w:val="0"/>
                <w:numId w:val="1"/>
              </w:numPr>
              <w:ind w:left="0" w:firstLine="0"/>
              <w:jc w:val="center"/>
              <w:rPr>
                <w:b/>
              </w:rPr>
            </w:pPr>
          </w:p>
        </w:tc>
        <w:tc>
          <w:tcPr>
            <w:tcW w:w="9356" w:type="dxa"/>
          </w:tcPr>
          <w:p w14:paraId="577567A1" w14:textId="77777777" w:rsidR="006E01FF" w:rsidRDefault="006E01FF" w:rsidP="00923852">
            <w:pPr>
              <w:pStyle w:val="TableParagraph"/>
              <w:rPr>
                <w:b/>
              </w:rPr>
            </w:pPr>
            <w:r w:rsidRPr="00D76C33">
              <w:rPr>
                <w:b/>
              </w:rPr>
              <w:t>HR METRICS</w:t>
            </w:r>
          </w:p>
          <w:p w14:paraId="3BF768EA" w14:textId="77777777" w:rsidR="006E01FF" w:rsidRDefault="006E01FF" w:rsidP="00923852">
            <w:pPr>
              <w:pStyle w:val="TableParagraph"/>
              <w:rPr>
                <w:b/>
              </w:rPr>
            </w:pPr>
          </w:p>
          <w:p w14:paraId="203CF401" w14:textId="77777777" w:rsidR="006E01FF" w:rsidRPr="00BF148D" w:rsidRDefault="006E01FF" w:rsidP="00CE53A7">
            <w:pPr>
              <w:pStyle w:val="TableParagraph"/>
              <w:rPr>
                <w:bCs/>
                <w:lang w:val="en-GB"/>
              </w:rPr>
            </w:pPr>
            <w:r w:rsidRPr="00BF148D">
              <w:rPr>
                <w:bCs/>
                <w:lang w:val="en-GB"/>
              </w:rPr>
              <w:t xml:space="preserve">S Taylor highlighted this report for noting. </w:t>
            </w:r>
          </w:p>
          <w:p w14:paraId="33526FAD" w14:textId="77777777" w:rsidR="006E01FF" w:rsidRPr="00BF148D" w:rsidRDefault="006E01FF" w:rsidP="00CE53A7">
            <w:pPr>
              <w:pStyle w:val="TableParagraph"/>
              <w:rPr>
                <w:bCs/>
                <w:lang w:val="en-GB"/>
              </w:rPr>
            </w:pPr>
          </w:p>
          <w:p w14:paraId="0F4DD5DE" w14:textId="3FA569C1" w:rsidR="006E01FF" w:rsidRPr="00BF148D" w:rsidRDefault="006E01FF" w:rsidP="00CE53A7">
            <w:pPr>
              <w:pStyle w:val="TableParagraph"/>
              <w:rPr>
                <w:bCs/>
                <w:lang w:val="en-GB"/>
              </w:rPr>
            </w:pPr>
            <w:r w:rsidRPr="00BF148D">
              <w:rPr>
                <w:bCs/>
                <w:lang w:val="en-GB"/>
              </w:rPr>
              <w:t xml:space="preserve">He stated </w:t>
            </w:r>
            <w:r w:rsidRPr="00CE53A7">
              <w:rPr>
                <w:bCs/>
                <w:lang w:val="en-GB"/>
              </w:rPr>
              <w:t>that the cyber training completion rate had increased over the course of the year, with current figures</w:t>
            </w:r>
            <w:r w:rsidRPr="00BF148D">
              <w:rPr>
                <w:bCs/>
                <w:lang w:val="en-GB"/>
              </w:rPr>
              <w:t xml:space="preserve"> sitting</w:t>
            </w:r>
            <w:r w:rsidRPr="00CE53A7">
              <w:rPr>
                <w:bCs/>
                <w:lang w:val="en-GB"/>
              </w:rPr>
              <w:t xml:space="preserve"> </w:t>
            </w:r>
            <w:r w:rsidR="00D86A53">
              <w:rPr>
                <w:bCs/>
                <w:lang w:val="en-GB"/>
              </w:rPr>
              <w:t>close to 100%</w:t>
            </w:r>
            <w:r w:rsidRPr="00CE53A7">
              <w:rPr>
                <w:bCs/>
                <w:lang w:val="en-GB"/>
              </w:rPr>
              <w:t>.</w:t>
            </w:r>
          </w:p>
          <w:p w14:paraId="06A4B842" w14:textId="77777777" w:rsidR="006E01FF" w:rsidRPr="00CE53A7" w:rsidRDefault="006E01FF" w:rsidP="00CE53A7">
            <w:pPr>
              <w:pStyle w:val="TableParagraph"/>
              <w:rPr>
                <w:b/>
                <w:lang w:val="en-GB"/>
              </w:rPr>
            </w:pPr>
          </w:p>
          <w:p w14:paraId="38127154" w14:textId="7130981A" w:rsidR="006E01FF" w:rsidRDefault="006E01FF" w:rsidP="00CE53A7">
            <w:pPr>
              <w:pStyle w:val="TableParagraph"/>
              <w:rPr>
                <w:b/>
                <w:lang w:val="en-GB"/>
              </w:rPr>
            </w:pPr>
            <w:r w:rsidRPr="00843E54">
              <w:rPr>
                <w:bCs/>
                <w:lang w:val="en-GB"/>
              </w:rPr>
              <w:t>B</w:t>
            </w:r>
            <w:r w:rsidRPr="00CE53A7">
              <w:rPr>
                <w:bCs/>
                <w:lang w:val="en-GB"/>
              </w:rPr>
              <w:t xml:space="preserve"> Lawrie suggested that Section Two of the report could benefit from an extended reporting period, potentially 15 months, to allow for improved trend comparisons.</w:t>
            </w:r>
            <w:r w:rsidRPr="00CE53A7">
              <w:rPr>
                <w:b/>
                <w:lang w:val="en-GB"/>
              </w:rPr>
              <w:t xml:space="preserve"> S Taylor agreed to review this proposal.</w:t>
            </w:r>
          </w:p>
          <w:p w14:paraId="19921BE2" w14:textId="77777777" w:rsidR="006E01FF" w:rsidRPr="00CE53A7" w:rsidRDefault="006E01FF" w:rsidP="00CE53A7">
            <w:pPr>
              <w:pStyle w:val="TableParagraph"/>
              <w:rPr>
                <w:bCs/>
                <w:lang w:val="en-GB"/>
              </w:rPr>
            </w:pPr>
          </w:p>
          <w:p w14:paraId="36926887" w14:textId="7D61F8F4" w:rsidR="006E01FF" w:rsidRPr="0046688C" w:rsidRDefault="006E01FF" w:rsidP="00CE53A7">
            <w:pPr>
              <w:pStyle w:val="TableParagraph"/>
              <w:rPr>
                <w:bCs/>
                <w:lang w:val="en-GB"/>
              </w:rPr>
            </w:pPr>
            <w:r w:rsidRPr="00CE53A7">
              <w:rPr>
                <w:bCs/>
                <w:lang w:val="en-GB"/>
              </w:rPr>
              <w:t>The Committee noted that the timeline associated with the financial position required ongoing management.</w:t>
            </w:r>
            <w:r w:rsidRPr="0046688C">
              <w:rPr>
                <w:bCs/>
                <w:lang w:val="en-GB"/>
              </w:rPr>
              <w:t xml:space="preserve"> S</w:t>
            </w:r>
            <w:r w:rsidRPr="00CE53A7">
              <w:rPr>
                <w:bCs/>
                <w:lang w:val="en-GB"/>
              </w:rPr>
              <w:t>Taylor confirmed that regular updates on savings plans would be provided to the Committee, incorporating lessons learned from prior initiatives.</w:t>
            </w:r>
          </w:p>
          <w:p w14:paraId="3C7508AB" w14:textId="77777777" w:rsidR="006E01FF" w:rsidRPr="00CE53A7" w:rsidRDefault="006E01FF" w:rsidP="00CE53A7">
            <w:pPr>
              <w:pStyle w:val="TableParagraph"/>
              <w:rPr>
                <w:b/>
                <w:lang w:val="en-GB"/>
              </w:rPr>
            </w:pPr>
          </w:p>
          <w:p w14:paraId="29C0C1AF" w14:textId="260230D2" w:rsidR="006E01FF" w:rsidRPr="003C1D93" w:rsidRDefault="006E01FF" w:rsidP="00CE53A7">
            <w:pPr>
              <w:pStyle w:val="TableParagraph"/>
              <w:rPr>
                <w:bCs/>
                <w:lang w:val="en-GB"/>
              </w:rPr>
            </w:pPr>
            <w:r w:rsidRPr="003C1D93">
              <w:rPr>
                <w:bCs/>
                <w:lang w:val="en-GB"/>
              </w:rPr>
              <w:t xml:space="preserve">B </w:t>
            </w:r>
            <w:r w:rsidRPr="00CE53A7">
              <w:rPr>
                <w:bCs/>
                <w:lang w:val="en-GB"/>
              </w:rPr>
              <w:t>Mooney requested additional detail regarding the overall strategy. In response, S Hewitt outlined the workforce implications, including potential changes to headcount, noting that some adjustments were linked to curriculum requirements. While the workforce plan addressed these implications, accurate forecasting could be challenging until enrolment data was confirmed.</w:t>
            </w:r>
          </w:p>
          <w:p w14:paraId="2B5DD934" w14:textId="77777777" w:rsidR="006E01FF" w:rsidRPr="00CE53A7" w:rsidRDefault="006E01FF" w:rsidP="00CE53A7">
            <w:pPr>
              <w:pStyle w:val="TableParagraph"/>
              <w:rPr>
                <w:b/>
                <w:lang w:val="en-GB"/>
              </w:rPr>
            </w:pPr>
          </w:p>
          <w:p w14:paraId="3FEB797F" w14:textId="77777777" w:rsidR="006E01FF" w:rsidRPr="003D503A" w:rsidRDefault="006E01FF" w:rsidP="00CE53A7">
            <w:pPr>
              <w:pStyle w:val="TableParagraph"/>
              <w:rPr>
                <w:bCs/>
                <w:lang w:val="en-GB"/>
              </w:rPr>
            </w:pPr>
            <w:r w:rsidRPr="00CE53A7">
              <w:rPr>
                <w:bCs/>
                <w:lang w:val="en-GB"/>
              </w:rPr>
              <w:t xml:space="preserve">A holistic approach to cost management was discussed. </w:t>
            </w:r>
            <w:r w:rsidRPr="003D503A">
              <w:rPr>
                <w:bCs/>
                <w:lang w:val="en-GB"/>
              </w:rPr>
              <w:t>S</w:t>
            </w:r>
            <w:r w:rsidRPr="00CE53A7">
              <w:rPr>
                <w:bCs/>
                <w:lang w:val="en-GB"/>
              </w:rPr>
              <w:t xml:space="preserve"> Taylor explained that in 2023, focus had been given to curriculum areas, alongside a 10% reduction in Scottish Funding Council allocations, requiring review across the entire College. </w:t>
            </w:r>
          </w:p>
          <w:p w14:paraId="7F5B9263" w14:textId="77777777" w:rsidR="006E01FF" w:rsidRDefault="006E01FF" w:rsidP="00CE53A7">
            <w:pPr>
              <w:pStyle w:val="TableParagraph"/>
              <w:rPr>
                <w:b/>
                <w:lang w:val="en-GB"/>
              </w:rPr>
            </w:pPr>
          </w:p>
          <w:p w14:paraId="62D32AB8" w14:textId="4ABE3750" w:rsidR="006E01FF" w:rsidRPr="00B228E9" w:rsidRDefault="006E01FF" w:rsidP="00CE53A7">
            <w:pPr>
              <w:pStyle w:val="TableParagraph"/>
              <w:rPr>
                <w:bCs/>
                <w:lang w:val="en-GB"/>
              </w:rPr>
            </w:pPr>
            <w:r w:rsidRPr="00CE53A7">
              <w:rPr>
                <w:bCs/>
                <w:lang w:val="en-GB"/>
              </w:rPr>
              <w:t>Challenges relating to credit targets and the impact of staff reductions were acknowledged. D Mackenzie emphasised the importance of maintaining cohesion and keeping staff engaged, while S Oakley stressed the need to ensure that the College remained capable of delivering for its students. The Committee recognised that lessons learned from this holistic approach should inform consideration of the current organisational structure.</w:t>
            </w:r>
          </w:p>
          <w:p w14:paraId="24AE4112" w14:textId="77777777" w:rsidR="006E01FF" w:rsidRPr="00CE53A7" w:rsidRDefault="006E01FF" w:rsidP="00CE53A7">
            <w:pPr>
              <w:pStyle w:val="TableParagraph"/>
              <w:rPr>
                <w:b/>
                <w:lang w:val="en-GB"/>
              </w:rPr>
            </w:pPr>
          </w:p>
          <w:p w14:paraId="5A1AAE02" w14:textId="0814DA2E" w:rsidR="006E01FF" w:rsidRPr="00CE53A7" w:rsidRDefault="006E01FF" w:rsidP="00CE53A7">
            <w:pPr>
              <w:pStyle w:val="TableParagraph"/>
              <w:rPr>
                <w:bCs/>
                <w:lang w:val="en-GB"/>
              </w:rPr>
            </w:pPr>
            <w:r w:rsidRPr="00CE53A7">
              <w:rPr>
                <w:bCs/>
                <w:lang w:val="en-GB"/>
              </w:rPr>
              <w:t>B Lawrie highlighted the importance of transparency regarding voluntary severance arrangements, noting that these had been well documented. He observed that the College was in a positive position and emphasised that the Board’s role was to challenge itself to ensure all stakeholders were appropriately considered.</w:t>
            </w:r>
          </w:p>
          <w:p w14:paraId="3C720650" w14:textId="77777777" w:rsidR="006E01FF" w:rsidRDefault="006E01FF" w:rsidP="00923852">
            <w:pPr>
              <w:pStyle w:val="TableParagraph"/>
              <w:rPr>
                <w:b/>
              </w:rPr>
            </w:pPr>
          </w:p>
          <w:p w14:paraId="0FBFC61E" w14:textId="1872EA5D" w:rsidR="006E01FF" w:rsidRDefault="006E01FF" w:rsidP="00923852">
            <w:pPr>
              <w:pStyle w:val="TableParagraph"/>
              <w:rPr>
                <w:b/>
              </w:rPr>
            </w:pPr>
            <w:r w:rsidRPr="00B228E9">
              <w:rPr>
                <w:bCs/>
              </w:rPr>
              <w:t xml:space="preserve">D Mackenzie thanked S Taylor for the report. </w:t>
            </w:r>
          </w:p>
          <w:p w14:paraId="0D20CDAE" w14:textId="77777777" w:rsidR="006E01FF" w:rsidRPr="00D76C33" w:rsidRDefault="006E01FF" w:rsidP="00923852">
            <w:pPr>
              <w:pStyle w:val="TableParagraph"/>
              <w:rPr>
                <w:b/>
              </w:rPr>
            </w:pPr>
          </w:p>
        </w:tc>
      </w:tr>
      <w:tr w:rsidR="006E01FF" w:rsidRPr="00D76C33" w14:paraId="25626C18" w14:textId="77777777" w:rsidTr="006E01FF">
        <w:trPr>
          <w:trHeight w:val="506"/>
        </w:trPr>
        <w:tc>
          <w:tcPr>
            <w:tcW w:w="567" w:type="dxa"/>
          </w:tcPr>
          <w:p w14:paraId="098F0705" w14:textId="77777777" w:rsidR="006E01FF" w:rsidRPr="00D76C33" w:rsidRDefault="006E01FF" w:rsidP="00824E78">
            <w:pPr>
              <w:pStyle w:val="TableParagraph"/>
              <w:numPr>
                <w:ilvl w:val="0"/>
                <w:numId w:val="1"/>
              </w:numPr>
              <w:ind w:left="0" w:firstLine="0"/>
              <w:jc w:val="center"/>
              <w:rPr>
                <w:b/>
              </w:rPr>
            </w:pPr>
          </w:p>
        </w:tc>
        <w:tc>
          <w:tcPr>
            <w:tcW w:w="9356" w:type="dxa"/>
          </w:tcPr>
          <w:p w14:paraId="4F0CF500" w14:textId="77777777" w:rsidR="006E01FF" w:rsidRDefault="006E01FF" w:rsidP="00923852">
            <w:pPr>
              <w:pStyle w:val="TableParagraph"/>
              <w:ind w:left="61"/>
              <w:rPr>
                <w:b/>
              </w:rPr>
            </w:pPr>
            <w:r>
              <w:rPr>
                <w:b/>
              </w:rPr>
              <w:t>MEETING MINUTES/UPDATES</w:t>
            </w:r>
          </w:p>
          <w:p w14:paraId="7A9563D6" w14:textId="0E9DAEBA" w:rsidR="006E01FF" w:rsidRDefault="006E01FF" w:rsidP="00824E78">
            <w:pPr>
              <w:pStyle w:val="TableParagraph"/>
              <w:tabs>
                <w:tab w:val="left" w:pos="508"/>
              </w:tabs>
            </w:pPr>
          </w:p>
          <w:p w14:paraId="6731395B" w14:textId="225696DE" w:rsidR="006E01FF" w:rsidRPr="003438D1" w:rsidRDefault="006E01FF" w:rsidP="00824E78">
            <w:pPr>
              <w:pStyle w:val="TableParagraph"/>
              <w:tabs>
                <w:tab w:val="left" w:pos="508"/>
              </w:tabs>
              <w:rPr>
                <w:lang w:val="en-GB"/>
              </w:rPr>
            </w:pPr>
            <w:r w:rsidRPr="003438D1">
              <w:rPr>
                <w:lang w:val="en-GB"/>
              </w:rPr>
              <w:t xml:space="preserve">The Joint Consultative Committee (JCF) and Health, Safety and Wellbeing (HS&amp;W) minutes were noted. </w:t>
            </w:r>
          </w:p>
          <w:p w14:paraId="2537C52D" w14:textId="7D690FC4" w:rsidR="006E01FF" w:rsidRPr="00D76C33" w:rsidRDefault="006E01FF" w:rsidP="00824E78">
            <w:pPr>
              <w:pStyle w:val="TableParagraph"/>
              <w:tabs>
                <w:tab w:val="left" w:pos="508"/>
              </w:tabs>
              <w:rPr>
                <w:b/>
              </w:rPr>
            </w:pPr>
          </w:p>
        </w:tc>
      </w:tr>
      <w:tr w:rsidR="001267B2" w:rsidRPr="00D76C33" w14:paraId="15CA8387" w14:textId="77777777" w:rsidTr="006E01FF">
        <w:trPr>
          <w:trHeight w:val="506"/>
        </w:trPr>
        <w:tc>
          <w:tcPr>
            <w:tcW w:w="567" w:type="dxa"/>
          </w:tcPr>
          <w:p w14:paraId="3952B949" w14:textId="77777777" w:rsidR="001267B2" w:rsidRPr="00D76C33" w:rsidRDefault="001267B2" w:rsidP="00824E78">
            <w:pPr>
              <w:pStyle w:val="TableParagraph"/>
              <w:numPr>
                <w:ilvl w:val="0"/>
                <w:numId w:val="1"/>
              </w:numPr>
              <w:ind w:left="0" w:firstLine="0"/>
              <w:jc w:val="center"/>
              <w:rPr>
                <w:b/>
              </w:rPr>
            </w:pPr>
          </w:p>
        </w:tc>
        <w:tc>
          <w:tcPr>
            <w:tcW w:w="9356" w:type="dxa"/>
          </w:tcPr>
          <w:p w14:paraId="56F67C64" w14:textId="61E40565" w:rsidR="00CC097D" w:rsidRDefault="00CC097D" w:rsidP="00CC097D">
            <w:pPr>
              <w:pStyle w:val="TableParagraph"/>
              <w:rPr>
                <w:b/>
                <w:lang w:val="en-GB"/>
              </w:rPr>
            </w:pPr>
            <w:r>
              <w:rPr>
                <w:b/>
                <w:lang w:val="en-GB"/>
              </w:rPr>
              <w:t>POINTS TO RAISE AT THE BOARD</w:t>
            </w:r>
          </w:p>
          <w:p w14:paraId="0F719246" w14:textId="77777777" w:rsidR="00CC097D" w:rsidRDefault="00CC097D" w:rsidP="00CC097D">
            <w:pPr>
              <w:pStyle w:val="TableParagraph"/>
              <w:rPr>
                <w:bCs/>
                <w:lang w:val="en-GB"/>
              </w:rPr>
            </w:pPr>
          </w:p>
          <w:p w14:paraId="22A5F504" w14:textId="4E8AD954" w:rsidR="00BC3525" w:rsidRDefault="00845A08" w:rsidP="00CC097D">
            <w:pPr>
              <w:pStyle w:val="TableParagraph"/>
              <w:rPr>
                <w:bCs/>
                <w:lang w:val="en-GB"/>
              </w:rPr>
            </w:pPr>
            <w:r>
              <w:rPr>
                <w:bCs/>
                <w:lang w:val="en-GB"/>
              </w:rPr>
              <w:t>D Mackenzie noted that he was keen to identify any points at the end of the meeting that m</w:t>
            </w:r>
            <w:r w:rsidR="00BC3525">
              <w:rPr>
                <w:bCs/>
                <w:lang w:val="en-GB"/>
              </w:rPr>
              <w:t>ay need to be raised at the Board meeting.</w:t>
            </w:r>
          </w:p>
          <w:p w14:paraId="6FB77B65" w14:textId="77777777" w:rsidR="00BC3525" w:rsidRDefault="00BC3525" w:rsidP="00CC097D">
            <w:pPr>
              <w:pStyle w:val="TableParagraph"/>
              <w:rPr>
                <w:bCs/>
                <w:lang w:val="en-GB"/>
              </w:rPr>
            </w:pPr>
          </w:p>
          <w:p w14:paraId="40AF2EE8" w14:textId="46E594F5" w:rsidR="00CC097D" w:rsidRPr="0046688C" w:rsidRDefault="00BC3525" w:rsidP="00CC097D">
            <w:pPr>
              <w:pStyle w:val="TableParagraph"/>
              <w:rPr>
                <w:bCs/>
                <w:lang w:val="en-GB"/>
              </w:rPr>
            </w:pPr>
            <w:r>
              <w:rPr>
                <w:bCs/>
                <w:lang w:val="en-GB"/>
              </w:rPr>
              <w:t>T</w:t>
            </w:r>
            <w:r w:rsidR="00CC097D" w:rsidRPr="00CE53A7">
              <w:rPr>
                <w:bCs/>
                <w:lang w:val="en-GB"/>
              </w:rPr>
              <w:t>he Committee noted that the timeline associated with the financial position required ongoing management.</w:t>
            </w:r>
            <w:r w:rsidR="00CC097D" w:rsidRPr="0046688C">
              <w:rPr>
                <w:bCs/>
                <w:lang w:val="en-GB"/>
              </w:rPr>
              <w:t xml:space="preserve"> S</w:t>
            </w:r>
            <w:r w:rsidR="00CC097D" w:rsidRPr="00CE53A7">
              <w:rPr>
                <w:bCs/>
                <w:lang w:val="en-GB"/>
              </w:rPr>
              <w:t xml:space="preserve">Taylor confirmed that regular updates on savings plans would be provided to the </w:t>
            </w:r>
            <w:r>
              <w:rPr>
                <w:bCs/>
                <w:lang w:val="en-GB"/>
              </w:rPr>
              <w:t xml:space="preserve">Board and to each </w:t>
            </w:r>
            <w:r w:rsidR="00CC097D" w:rsidRPr="00CE53A7">
              <w:rPr>
                <w:bCs/>
                <w:lang w:val="en-GB"/>
              </w:rPr>
              <w:t>Committee.</w:t>
            </w:r>
          </w:p>
          <w:p w14:paraId="1BA7498F" w14:textId="77777777" w:rsidR="00CC097D" w:rsidRPr="00CE53A7" w:rsidRDefault="00CC097D" w:rsidP="00CC097D">
            <w:pPr>
              <w:pStyle w:val="TableParagraph"/>
              <w:rPr>
                <w:b/>
                <w:lang w:val="en-GB"/>
              </w:rPr>
            </w:pPr>
          </w:p>
          <w:p w14:paraId="7BBDAD2A" w14:textId="1878CD04" w:rsidR="00CC097D" w:rsidRPr="003C1D93" w:rsidRDefault="00CC097D" w:rsidP="00CC097D">
            <w:pPr>
              <w:pStyle w:val="TableParagraph"/>
              <w:rPr>
                <w:bCs/>
                <w:lang w:val="en-GB"/>
              </w:rPr>
            </w:pPr>
            <w:r w:rsidRPr="003C1D93">
              <w:rPr>
                <w:bCs/>
                <w:lang w:val="en-GB"/>
              </w:rPr>
              <w:t xml:space="preserve">B </w:t>
            </w:r>
            <w:r w:rsidRPr="00CE53A7">
              <w:rPr>
                <w:bCs/>
                <w:lang w:val="en-GB"/>
              </w:rPr>
              <w:t xml:space="preserve">Mooney </w:t>
            </w:r>
            <w:r w:rsidR="00720516">
              <w:rPr>
                <w:bCs/>
                <w:lang w:val="en-GB"/>
              </w:rPr>
              <w:t>asked about the detail</w:t>
            </w:r>
            <w:r w:rsidRPr="00CE53A7">
              <w:rPr>
                <w:bCs/>
                <w:lang w:val="en-GB"/>
              </w:rPr>
              <w:t xml:space="preserve"> regarding the overall </w:t>
            </w:r>
            <w:r w:rsidR="00720516">
              <w:rPr>
                <w:bCs/>
                <w:lang w:val="en-GB"/>
              </w:rPr>
              <w:t xml:space="preserve">workforce plan and </w:t>
            </w:r>
            <w:r w:rsidRPr="00CE53A7">
              <w:rPr>
                <w:bCs/>
                <w:lang w:val="en-GB"/>
              </w:rPr>
              <w:t xml:space="preserve">strategy. In response, S </w:t>
            </w:r>
            <w:r w:rsidR="00D20062">
              <w:rPr>
                <w:bCs/>
                <w:lang w:val="en-GB"/>
              </w:rPr>
              <w:t>Taylor</w:t>
            </w:r>
            <w:r w:rsidRPr="00CE53A7">
              <w:rPr>
                <w:bCs/>
                <w:lang w:val="en-GB"/>
              </w:rPr>
              <w:t xml:space="preserve"> outlined the workforce implications, including potential changes to headcount, noting that some adjustments were linked to curriculum requirements. While the workforce plan addressed these implications, accurate forecasting could be challenging until enrolment data was confirmed.</w:t>
            </w:r>
          </w:p>
          <w:p w14:paraId="36A929A2" w14:textId="77777777" w:rsidR="00CC097D" w:rsidRPr="00CE53A7" w:rsidRDefault="00CC097D" w:rsidP="00CC097D">
            <w:pPr>
              <w:pStyle w:val="TableParagraph"/>
              <w:rPr>
                <w:b/>
                <w:lang w:val="en-GB"/>
              </w:rPr>
            </w:pPr>
          </w:p>
          <w:p w14:paraId="12AEEB9E" w14:textId="77777777" w:rsidR="00CC097D" w:rsidRPr="003D503A" w:rsidRDefault="00CC097D" w:rsidP="00CC097D">
            <w:pPr>
              <w:pStyle w:val="TableParagraph"/>
              <w:rPr>
                <w:bCs/>
                <w:lang w:val="en-GB"/>
              </w:rPr>
            </w:pPr>
            <w:r w:rsidRPr="00CE53A7">
              <w:rPr>
                <w:bCs/>
                <w:lang w:val="en-GB"/>
              </w:rPr>
              <w:t xml:space="preserve">A holistic approach to cost management was discussed. </w:t>
            </w:r>
            <w:r w:rsidRPr="003D503A">
              <w:rPr>
                <w:bCs/>
                <w:lang w:val="en-GB"/>
              </w:rPr>
              <w:t>S</w:t>
            </w:r>
            <w:r w:rsidRPr="00CE53A7">
              <w:rPr>
                <w:bCs/>
                <w:lang w:val="en-GB"/>
              </w:rPr>
              <w:t xml:space="preserve"> Taylor explained that in 2023, focus had been given to curriculum areas, alongside a 10% reduction in Scottish Funding Council allocations, requiring review across the entire College. </w:t>
            </w:r>
          </w:p>
          <w:p w14:paraId="5B91D5FA" w14:textId="77777777" w:rsidR="00CC097D" w:rsidRDefault="00CC097D" w:rsidP="00CC097D">
            <w:pPr>
              <w:pStyle w:val="TableParagraph"/>
              <w:rPr>
                <w:b/>
                <w:lang w:val="en-GB"/>
              </w:rPr>
            </w:pPr>
          </w:p>
          <w:p w14:paraId="628976E3" w14:textId="77777777" w:rsidR="00D20062" w:rsidRDefault="00CC097D" w:rsidP="00CC097D">
            <w:pPr>
              <w:pStyle w:val="TableParagraph"/>
              <w:rPr>
                <w:bCs/>
                <w:lang w:val="en-GB"/>
              </w:rPr>
            </w:pPr>
            <w:r w:rsidRPr="00CE53A7">
              <w:rPr>
                <w:bCs/>
                <w:lang w:val="en-GB"/>
              </w:rPr>
              <w:t xml:space="preserve">Challenges relating to credit targets and the impact of staff reductions were acknowledged. </w:t>
            </w:r>
          </w:p>
          <w:p w14:paraId="57326A92" w14:textId="77777777" w:rsidR="00D20062" w:rsidRDefault="00D20062" w:rsidP="00CC097D">
            <w:pPr>
              <w:pStyle w:val="TableParagraph"/>
              <w:rPr>
                <w:bCs/>
                <w:lang w:val="en-GB"/>
              </w:rPr>
            </w:pPr>
          </w:p>
          <w:p w14:paraId="04CABFE6" w14:textId="169F21C9" w:rsidR="00CC097D" w:rsidRPr="00B228E9" w:rsidRDefault="00CC097D" w:rsidP="00CC097D">
            <w:pPr>
              <w:pStyle w:val="TableParagraph"/>
              <w:rPr>
                <w:bCs/>
                <w:lang w:val="en-GB"/>
              </w:rPr>
            </w:pPr>
            <w:r w:rsidRPr="00CE53A7">
              <w:rPr>
                <w:bCs/>
                <w:lang w:val="en-GB"/>
              </w:rPr>
              <w:t>D</w:t>
            </w:r>
            <w:r w:rsidR="00D20062">
              <w:rPr>
                <w:bCs/>
                <w:lang w:val="en-GB"/>
              </w:rPr>
              <w:t> </w:t>
            </w:r>
            <w:r w:rsidRPr="00CE53A7">
              <w:rPr>
                <w:bCs/>
                <w:lang w:val="en-GB"/>
              </w:rPr>
              <w:t xml:space="preserve">Mackenzie emphasised the importance of maintaining cohesion and keeping staff engaged, while S Oakley stressed the need to ensure that the College remained capable of delivering for its students. The Committee recognised that lessons learned from this holistic approach should inform consideration of the current organisational </w:t>
            </w:r>
            <w:r w:rsidR="00B134F0">
              <w:rPr>
                <w:bCs/>
                <w:lang w:val="en-GB"/>
              </w:rPr>
              <w:t>challenges</w:t>
            </w:r>
            <w:r w:rsidRPr="00CE53A7">
              <w:rPr>
                <w:bCs/>
                <w:lang w:val="en-GB"/>
              </w:rPr>
              <w:t>.</w:t>
            </w:r>
          </w:p>
          <w:p w14:paraId="7130997E" w14:textId="77777777" w:rsidR="00CC097D" w:rsidRDefault="00CC097D" w:rsidP="00CC097D">
            <w:pPr>
              <w:pStyle w:val="TableParagraph"/>
              <w:rPr>
                <w:b/>
                <w:lang w:val="en-GB"/>
              </w:rPr>
            </w:pPr>
          </w:p>
          <w:p w14:paraId="1CC9BEB8" w14:textId="77777777" w:rsidR="00CE3E82" w:rsidRDefault="00CE3E82" w:rsidP="00CC097D">
            <w:pPr>
              <w:pStyle w:val="TableParagraph"/>
              <w:rPr>
                <w:b/>
                <w:lang w:val="en-GB"/>
              </w:rPr>
            </w:pPr>
          </w:p>
          <w:p w14:paraId="4F035C4A" w14:textId="77777777" w:rsidR="001620D2" w:rsidRDefault="001620D2" w:rsidP="00CC097D">
            <w:pPr>
              <w:pStyle w:val="TableParagraph"/>
              <w:rPr>
                <w:b/>
                <w:lang w:val="en-GB"/>
              </w:rPr>
            </w:pPr>
          </w:p>
          <w:p w14:paraId="423AA6E8" w14:textId="77777777" w:rsidR="00CE3E82" w:rsidRPr="00CE53A7" w:rsidRDefault="00CE3E82" w:rsidP="00CC097D">
            <w:pPr>
              <w:pStyle w:val="TableParagraph"/>
              <w:rPr>
                <w:b/>
                <w:lang w:val="en-GB"/>
              </w:rPr>
            </w:pPr>
          </w:p>
          <w:p w14:paraId="15DD4281" w14:textId="69EBC32B" w:rsidR="00CC097D" w:rsidRDefault="00CC097D" w:rsidP="00CC097D">
            <w:pPr>
              <w:pStyle w:val="TableParagraph"/>
              <w:rPr>
                <w:b/>
              </w:rPr>
            </w:pPr>
            <w:r w:rsidRPr="00CE53A7">
              <w:rPr>
                <w:bCs/>
                <w:lang w:val="en-GB"/>
              </w:rPr>
              <w:lastRenderedPageBreak/>
              <w:t>B Lawrie highlighted the importance of transparency regarding voluntary severance arrangements, noting that these had been well documented</w:t>
            </w:r>
            <w:r w:rsidR="00B134F0">
              <w:rPr>
                <w:bCs/>
                <w:lang w:val="en-GB"/>
              </w:rPr>
              <w:t xml:space="preserve"> in some organisations reported recently</w:t>
            </w:r>
            <w:r w:rsidRPr="00CE53A7">
              <w:rPr>
                <w:bCs/>
                <w:lang w:val="en-GB"/>
              </w:rPr>
              <w:t>. He observed that the College was in a positive position and emphasised that the Board’s role was to challenge itself to ensure all stakeholders were appropriately considered.</w:t>
            </w:r>
          </w:p>
          <w:p w14:paraId="359AFC36" w14:textId="3A2F973D" w:rsidR="001267B2" w:rsidRDefault="001267B2" w:rsidP="00CC097D">
            <w:pPr>
              <w:pStyle w:val="TableParagraph"/>
              <w:ind w:left="61"/>
              <w:rPr>
                <w:b/>
              </w:rPr>
            </w:pPr>
          </w:p>
        </w:tc>
      </w:tr>
      <w:tr w:rsidR="00CE3E82" w:rsidRPr="00D76C33" w14:paraId="0570F4FD" w14:textId="77777777" w:rsidTr="006E01FF">
        <w:trPr>
          <w:trHeight w:val="506"/>
        </w:trPr>
        <w:tc>
          <w:tcPr>
            <w:tcW w:w="567" w:type="dxa"/>
          </w:tcPr>
          <w:p w14:paraId="28DA7A93" w14:textId="77777777" w:rsidR="00CE3E82" w:rsidRPr="00D76C33" w:rsidRDefault="00CE3E82" w:rsidP="00824E78">
            <w:pPr>
              <w:pStyle w:val="TableParagraph"/>
              <w:numPr>
                <w:ilvl w:val="0"/>
                <w:numId w:val="1"/>
              </w:numPr>
              <w:ind w:left="0" w:firstLine="0"/>
              <w:jc w:val="center"/>
              <w:rPr>
                <w:b/>
              </w:rPr>
            </w:pPr>
          </w:p>
        </w:tc>
        <w:tc>
          <w:tcPr>
            <w:tcW w:w="9356" w:type="dxa"/>
          </w:tcPr>
          <w:p w14:paraId="1576822C" w14:textId="77777777" w:rsidR="00CE3E82" w:rsidRDefault="00CE3E82" w:rsidP="00CC097D">
            <w:pPr>
              <w:pStyle w:val="TableParagraph"/>
              <w:rPr>
                <w:b/>
                <w:lang w:val="en-GB"/>
              </w:rPr>
            </w:pPr>
            <w:r>
              <w:rPr>
                <w:b/>
                <w:lang w:val="en-GB"/>
              </w:rPr>
              <w:t>DATE OF NEXT MEETING</w:t>
            </w:r>
          </w:p>
          <w:p w14:paraId="22F5A0CD" w14:textId="77777777" w:rsidR="00CE3E82" w:rsidRDefault="00CE3E82" w:rsidP="00CC097D">
            <w:pPr>
              <w:pStyle w:val="TableParagraph"/>
              <w:rPr>
                <w:b/>
                <w:lang w:val="en-GB"/>
              </w:rPr>
            </w:pPr>
          </w:p>
          <w:p w14:paraId="609D1664" w14:textId="1C6D0C29" w:rsidR="00CE3E82" w:rsidRPr="00753EB8" w:rsidRDefault="00CE3E82" w:rsidP="00CC097D">
            <w:pPr>
              <w:pStyle w:val="TableParagraph"/>
              <w:rPr>
                <w:bCs/>
                <w:lang w:val="en-GB"/>
              </w:rPr>
            </w:pPr>
            <w:r w:rsidRPr="00753EB8">
              <w:rPr>
                <w:bCs/>
                <w:lang w:val="en-GB"/>
              </w:rPr>
              <w:t xml:space="preserve">Thursday </w:t>
            </w:r>
            <w:r w:rsidR="00753EB8" w:rsidRPr="00753EB8">
              <w:rPr>
                <w:bCs/>
                <w:lang w:val="en-GB"/>
              </w:rPr>
              <w:t>20</w:t>
            </w:r>
            <w:r w:rsidRPr="00753EB8">
              <w:rPr>
                <w:bCs/>
                <w:lang w:val="en-GB"/>
              </w:rPr>
              <w:t xml:space="preserve"> November 20205 at 5.00pm in K-TO-624, Kingsway Campus</w:t>
            </w:r>
          </w:p>
        </w:tc>
      </w:tr>
    </w:tbl>
    <w:p w14:paraId="1FC66626" w14:textId="77777777" w:rsidR="00824E78" w:rsidRDefault="00824E78" w:rsidP="00824E78"/>
    <w:p w14:paraId="1DF56C3D" w14:textId="77777777" w:rsidR="00ED7A2C" w:rsidRDefault="00ED7A2C"/>
    <w:tbl>
      <w:tblPr>
        <w:tblpPr w:leftFromText="180" w:rightFromText="180" w:vertAnchor="text" w:tblpY="11"/>
        <w:tblW w:w="9923" w:type="dxa"/>
        <w:tblLayout w:type="fixed"/>
        <w:tblCellMar>
          <w:left w:w="0" w:type="dxa"/>
          <w:right w:w="0" w:type="dxa"/>
        </w:tblCellMar>
        <w:tblLook w:val="01E0" w:firstRow="1" w:lastRow="1" w:firstColumn="1" w:lastColumn="1" w:noHBand="0" w:noVBand="0"/>
      </w:tblPr>
      <w:tblGrid>
        <w:gridCol w:w="5954"/>
        <w:gridCol w:w="1843"/>
        <w:gridCol w:w="2126"/>
      </w:tblGrid>
      <w:tr w:rsidR="008754AB" w:rsidRPr="00D43501" w14:paraId="631519AD" w14:textId="77777777" w:rsidTr="00A41D66">
        <w:trPr>
          <w:trHeight w:val="310"/>
        </w:trPr>
        <w:tc>
          <w:tcPr>
            <w:tcW w:w="5954" w:type="dxa"/>
          </w:tcPr>
          <w:p w14:paraId="09B07A86" w14:textId="77777777" w:rsidR="008754AB" w:rsidRPr="00D43501" w:rsidRDefault="008754AB" w:rsidP="004B7C23">
            <w:pPr>
              <w:pStyle w:val="TableParagraph"/>
              <w:rPr>
                <w:b/>
                <w:lang w:val="en-GB"/>
              </w:rPr>
            </w:pPr>
            <w:r w:rsidRPr="00D43501">
              <w:rPr>
                <w:b/>
                <w:u w:val="thick"/>
                <w:lang w:val="en-GB"/>
              </w:rPr>
              <w:t>Action Point Summary</w:t>
            </w:r>
          </w:p>
        </w:tc>
        <w:tc>
          <w:tcPr>
            <w:tcW w:w="1843" w:type="dxa"/>
          </w:tcPr>
          <w:p w14:paraId="52590A1F" w14:textId="77777777" w:rsidR="008754AB" w:rsidRPr="00D43501" w:rsidRDefault="008754AB" w:rsidP="004B7C23">
            <w:pPr>
              <w:pStyle w:val="TableParagraph"/>
              <w:rPr>
                <w:rFonts w:ascii="Times New Roman"/>
                <w:lang w:val="en-GB"/>
              </w:rPr>
            </w:pPr>
          </w:p>
        </w:tc>
        <w:tc>
          <w:tcPr>
            <w:tcW w:w="2126" w:type="dxa"/>
          </w:tcPr>
          <w:p w14:paraId="3CE61DE1" w14:textId="77777777" w:rsidR="008754AB" w:rsidRPr="00D43501" w:rsidRDefault="008754AB" w:rsidP="004B7C23">
            <w:pPr>
              <w:pStyle w:val="TableParagraph"/>
              <w:rPr>
                <w:rFonts w:ascii="Times New Roman"/>
                <w:lang w:val="en-GB"/>
              </w:rPr>
            </w:pPr>
          </w:p>
        </w:tc>
      </w:tr>
      <w:tr w:rsidR="008754AB" w:rsidRPr="00D43501" w14:paraId="2F367519" w14:textId="77777777" w:rsidTr="00A41D66">
        <w:trPr>
          <w:trHeight w:val="374"/>
        </w:trPr>
        <w:tc>
          <w:tcPr>
            <w:tcW w:w="5954" w:type="dxa"/>
          </w:tcPr>
          <w:p w14:paraId="3B86F2FD" w14:textId="77777777" w:rsidR="008754AB" w:rsidRPr="00D43501" w:rsidRDefault="008754AB" w:rsidP="004B7C23">
            <w:pPr>
              <w:pStyle w:val="TableParagraph"/>
              <w:jc w:val="center"/>
              <w:rPr>
                <w:b/>
                <w:lang w:val="en-GB"/>
              </w:rPr>
            </w:pPr>
            <w:r w:rsidRPr="00D43501">
              <w:rPr>
                <w:b/>
                <w:lang w:val="en-GB"/>
              </w:rPr>
              <w:t>Action</w:t>
            </w:r>
          </w:p>
        </w:tc>
        <w:tc>
          <w:tcPr>
            <w:tcW w:w="1843" w:type="dxa"/>
          </w:tcPr>
          <w:p w14:paraId="4324B864" w14:textId="77777777" w:rsidR="008754AB" w:rsidRPr="00D43501" w:rsidRDefault="008754AB" w:rsidP="004B7C23">
            <w:pPr>
              <w:pStyle w:val="TableParagraph"/>
              <w:jc w:val="center"/>
              <w:rPr>
                <w:b/>
                <w:lang w:val="en-GB"/>
              </w:rPr>
            </w:pPr>
            <w:r w:rsidRPr="00D43501">
              <w:rPr>
                <w:b/>
                <w:lang w:val="en-GB"/>
              </w:rPr>
              <w:t>Responsibility</w:t>
            </w:r>
          </w:p>
        </w:tc>
        <w:tc>
          <w:tcPr>
            <w:tcW w:w="2126" w:type="dxa"/>
          </w:tcPr>
          <w:p w14:paraId="72C29E0E" w14:textId="77777777" w:rsidR="008754AB" w:rsidRPr="00D43501" w:rsidRDefault="008754AB" w:rsidP="004B7C23">
            <w:pPr>
              <w:pStyle w:val="TableParagraph"/>
              <w:jc w:val="center"/>
              <w:rPr>
                <w:b/>
                <w:lang w:val="en-GB"/>
              </w:rPr>
            </w:pPr>
            <w:r w:rsidRPr="00D43501">
              <w:rPr>
                <w:b/>
                <w:lang w:val="en-GB"/>
              </w:rPr>
              <w:t>Date</w:t>
            </w:r>
          </w:p>
        </w:tc>
      </w:tr>
      <w:tr w:rsidR="008754AB" w:rsidRPr="00D43501" w14:paraId="1522E636" w14:textId="77777777" w:rsidTr="00A41D66">
        <w:trPr>
          <w:trHeight w:val="374"/>
        </w:trPr>
        <w:tc>
          <w:tcPr>
            <w:tcW w:w="5954" w:type="dxa"/>
          </w:tcPr>
          <w:p w14:paraId="57371D38" w14:textId="55DE3577" w:rsidR="008754AB" w:rsidRPr="00592F9F" w:rsidRDefault="00A41D66" w:rsidP="004B7C23">
            <w:pPr>
              <w:pStyle w:val="TableParagraph"/>
              <w:rPr>
                <w:bCs/>
                <w:lang w:val="en-GB"/>
              </w:rPr>
            </w:pPr>
            <w:r w:rsidRPr="00A41D66">
              <w:rPr>
                <w:bCs/>
              </w:rPr>
              <w:t xml:space="preserve">Review and update </w:t>
            </w:r>
            <w:r>
              <w:rPr>
                <w:bCs/>
              </w:rPr>
              <w:t xml:space="preserve">Committee </w:t>
            </w:r>
            <w:r w:rsidRPr="00A41D66">
              <w:rPr>
                <w:bCs/>
              </w:rPr>
              <w:t>names on the Risk Register.</w:t>
            </w:r>
          </w:p>
        </w:tc>
        <w:tc>
          <w:tcPr>
            <w:tcW w:w="1843" w:type="dxa"/>
          </w:tcPr>
          <w:p w14:paraId="7868BEB6" w14:textId="13FFCCFF" w:rsidR="008754AB" w:rsidRPr="00592F9F" w:rsidRDefault="00A41D66" w:rsidP="004B7C23">
            <w:pPr>
              <w:pStyle w:val="TableParagraph"/>
              <w:rPr>
                <w:bCs/>
                <w:lang w:val="en-GB"/>
              </w:rPr>
            </w:pPr>
            <w:r>
              <w:rPr>
                <w:bCs/>
                <w:lang w:val="en-GB"/>
              </w:rPr>
              <w:t xml:space="preserve">   </w:t>
            </w:r>
            <w:r w:rsidR="008754AB">
              <w:rPr>
                <w:bCs/>
                <w:lang w:val="en-GB"/>
              </w:rPr>
              <w:t>S Taylor</w:t>
            </w:r>
          </w:p>
        </w:tc>
        <w:tc>
          <w:tcPr>
            <w:tcW w:w="2126" w:type="dxa"/>
          </w:tcPr>
          <w:p w14:paraId="6569565C" w14:textId="53A1779C" w:rsidR="008754AB" w:rsidRPr="00592F9F" w:rsidRDefault="008754AB" w:rsidP="004B7C23">
            <w:pPr>
              <w:pStyle w:val="TableParagraph"/>
              <w:jc w:val="center"/>
              <w:rPr>
                <w:bCs/>
                <w:lang w:val="en-GB"/>
              </w:rPr>
            </w:pPr>
            <w:r>
              <w:rPr>
                <w:bCs/>
                <w:lang w:val="en-GB"/>
              </w:rPr>
              <w:t>20 November 2025</w:t>
            </w:r>
          </w:p>
        </w:tc>
      </w:tr>
      <w:tr w:rsidR="008754AB" w:rsidRPr="00D43501" w14:paraId="3567CED6" w14:textId="77777777" w:rsidTr="00A41D66">
        <w:trPr>
          <w:trHeight w:val="374"/>
        </w:trPr>
        <w:tc>
          <w:tcPr>
            <w:tcW w:w="5954" w:type="dxa"/>
          </w:tcPr>
          <w:p w14:paraId="38FD36D0" w14:textId="391E313F" w:rsidR="008754AB" w:rsidRDefault="00411CE1" w:rsidP="004B7C23">
            <w:pPr>
              <w:pStyle w:val="TableParagraph"/>
              <w:rPr>
                <w:bCs/>
                <w:lang w:val="en-GB"/>
              </w:rPr>
            </w:pPr>
            <w:r>
              <w:rPr>
                <w:bCs/>
              </w:rPr>
              <w:t>Consider</w:t>
            </w:r>
            <w:r w:rsidR="00BA20E9" w:rsidRPr="00BA20E9">
              <w:rPr>
                <w:bCs/>
              </w:rPr>
              <w:t xml:space="preserve"> the possibility of extending the HR metrics reporting period to 15 months to allow for improved trend comparison.</w:t>
            </w:r>
          </w:p>
        </w:tc>
        <w:tc>
          <w:tcPr>
            <w:tcW w:w="1843" w:type="dxa"/>
          </w:tcPr>
          <w:p w14:paraId="652C990F" w14:textId="4EF59EBB" w:rsidR="008754AB" w:rsidRPr="00592F9F" w:rsidRDefault="00A41D66" w:rsidP="004B7C23">
            <w:pPr>
              <w:pStyle w:val="TableParagraph"/>
              <w:rPr>
                <w:bCs/>
                <w:lang w:val="en-GB"/>
              </w:rPr>
            </w:pPr>
            <w:r>
              <w:rPr>
                <w:bCs/>
                <w:lang w:val="en-GB"/>
              </w:rPr>
              <w:t xml:space="preserve">   </w:t>
            </w:r>
            <w:r w:rsidR="008754AB">
              <w:rPr>
                <w:bCs/>
                <w:lang w:val="en-GB"/>
              </w:rPr>
              <w:t>S Taylor</w:t>
            </w:r>
          </w:p>
        </w:tc>
        <w:tc>
          <w:tcPr>
            <w:tcW w:w="2126" w:type="dxa"/>
          </w:tcPr>
          <w:p w14:paraId="7AF8C9EF" w14:textId="5B70120C" w:rsidR="008754AB" w:rsidRPr="00592F9F" w:rsidRDefault="008754AB" w:rsidP="004B7C23">
            <w:pPr>
              <w:pStyle w:val="TableParagraph"/>
              <w:jc w:val="center"/>
              <w:rPr>
                <w:bCs/>
                <w:lang w:val="en-GB"/>
              </w:rPr>
            </w:pPr>
            <w:r>
              <w:rPr>
                <w:bCs/>
                <w:lang w:val="en-GB"/>
              </w:rPr>
              <w:t>20 November 2025</w:t>
            </w:r>
          </w:p>
        </w:tc>
      </w:tr>
    </w:tbl>
    <w:p w14:paraId="5B092A81" w14:textId="77777777" w:rsidR="008754AB" w:rsidRDefault="008754AB"/>
    <w:sectPr w:rsidR="008754AB" w:rsidSect="006E01FF">
      <w:footerReference w:type="default" r:id="rId11"/>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48D5D" w14:textId="77777777" w:rsidR="00997ACA" w:rsidRDefault="00997ACA" w:rsidP="00B03F32">
      <w:r>
        <w:separator/>
      </w:r>
    </w:p>
  </w:endnote>
  <w:endnote w:type="continuationSeparator" w:id="0">
    <w:p w14:paraId="4F72C0C5" w14:textId="77777777" w:rsidR="00997ACA" w:rsidRDefault="00997ACA" w:rsidP="00B03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7031773"/>
      <w:docPartObj>
        <w:docPartGallery w:val="Page Numbers (Bottom of Page)"/>
        <w:docPartUnique/>
      </w:docPartObj>
    </w:sdtPr>
    <w:sdtContent>
      <w:sdt>
        <w:sdtPr>
          <w:id w:val="-1769616900"/>
          <w:docPartObj>
            <w:docPartGallery w:val="Page Numbers (Top of Page)"/>
            <w:docPartUnique/>
          </w:docPartObj>
        </w:sdtPr>
        <w:sdtContent>
          <w:p w14:paraId="78BDE964" w14:textId="3A8F2402" w:rsidR="00B03F32" w:rsidRDefault="00B03F32">
            <w:pPr>
              <w:pStyle w:val="Footer"/>
              <w:jc w:val="right"/>
            </w:pPr>
            <w:r w:rsidRPr="00B03F32">
              <w:rPr>
                <w:sz w:val="20"/>
                <w:szCs w:val="20"/>
              </w:rPr>
              <w:t xml:space="preserve">Page </w:t>
            </w:r>
            <w:r w:rsidRPr="00B03F32">
              <w:rPr>
                <w:sz w:val="20"/>
                <w:szCs w:val="20"/>
              </w:rPr>
              <w:fldChar w:fldCharType="begin"/>
            </w:r>
            <w:r w:rsidRPr="00B03F32">
              <w:rPr>
                <w:sz w:val="20"/>
                <w:szCs w:val="20"/>
              </w:rPr>
              <w:instrText xml:space="preserve"> PAGE </w:instrText>
            </w:r>
            <w:r w:rsidRPr="00B03F32">
              <w:rPr>
                <w:sz w:val="20"/>
                <w:szCs w:val="20"/>
              </w:rPr>
              <w:fldChar w:fldCharType="separate"/>
            </w:r>
            <w:r w:rsidRPr="00B03F32">
              <w:rPr>
                <w:noProof/>
                <w:sz w:val="20"/>
                <w:szCs w:val="20"/>
              </w:rPr>
              <w:t>2</w:t>
            </w:r>
            <w:r w:rsidRPr="00B03F32">
              <w:rPr>
                <w:sz w:val="20"/>
                <w:szCs w:val="20"/>
              </w:rPr>
              <w:fldChar w:fldCharType="end"/>
            </w:r>
            <w:r w:rsidRPr="00B03F32">
              <w:rPr>
                <w:sz w:val="20"/>
                <w:szCs w:val="20"/>
              </w:rPr>
              <w:t xml:space="preserve"> of </w:t>
            </w:r>
            <w:r w:rsidRPr="00B03F32">
              <w:rPr>
                <w:sz w:val="20"/>
                <w:szCs w:val="20"/>
              </w:rPr>
              <w:fldChar w:fldCharType="begin"/>
            </w:r>
            <w:r w:rsidRPr="00B03F32">
              <w:rPr>
                <w:sz w:val="20"/>
                <w:szCs w:val="20"/>
              </w:rPr>
              <w:instrText xml:space="preserve"> NUMPAGES  </w:instrText>
            </w:r>
            <w:r w:rsidRPr="00B03F32">
              <w:rPr>
                <w:sz w:val="20"/>
                <w:szCs w:val="20"/>
              </w:rPr>
              <w:fldChar w:fldCharType="separate"/>
            </w:r>
            <w:r w:rsidRPr="00B03F32">
              <w:rPr>
                <w:noProof/>
                <w:sz w:val="20"/>
                <w:szCs w:val="20"/>
              </w:rPr>
              <w:t>2</w:t>
            </w:r>
            <w:r w:rsidRPr="00B03F32">
              <w:rPr>
                <w:sz w:val="20"/>
                <w:szCs w:val="20"/>
              </w:rPr>
              <w:fldChar w:fldCharType="end"/>
            </w:r>
          </w:p>
        </w:sdtContent>
      </w:sdt>
    </w:sdtContent>
  </w:sdt>
  <w:p w14:paraId="392780D1" w14:textId="77777777" w:rsidR="00B03F32" w:rsidRDefault="00B03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48710" w14:textId="77777777" w:rsidR="00997ACA" w:rsidRDefault="00997ACA" w:rsidP="00B03F32">
      <w:r>
        <w:separator/>
      </w:r>
    </w:p>
  </w:footnote>
  <w:footnote w:type="continuationSeparator" w:id="0">
    <w:p w14:paraId="08F82311" w14:textId="77777777" w:rsidR="00997ACA" w:rsidRDefault="00997ACA" w:rsidP="00B03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A04C3F"/>
    <w:multiLevelType w:val="hybridMultilevel"/>
    <w:tmpl w:val="90C4450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338580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E78"/>
    <w:rsid w:val="0001217C"/>
    <w:rsid w:val="00013ACB"/>
    <w:rsid w:val="00020837"/>
    <w:rsid w:val="00042B86"/>
    <w:rsid w:val="000537A5"/>
    <w:rsid w:val="000663F5"/>
    <w:rsid w:val="00084250"/>
    <w:rsid w:val="000868A9"/>
    <w:rsid w:val="000939AB"/>
    <w:rsid w:val="000B5ABE"/>
    <w:rsid w:val="000B5C9B"/>
    <w:rsid w:val="000C0CB9"/>
    <w:rsid w:val="000C2284"/>
    <w:rsid w:val="000D315A"/>
    <w:rsid w:val="000E2E50"/>
    <w:rsid w:val="000E3323"/>
    <w:rsid w:val="000F40AA"/>
    <w:rsid w:val="00114F6D"/>
    <w:rsid w:val="00125A13"/>
    <w:rsid w:val="001267B2"/>
    <w:rsid w:val="00126CD4"/>
    <w:rsid w:val="001454C5"/>
    <w:rsid w:val="00145D39"/>
    <w:rsid w:val="00146D02"/>
    <w:rsid w:val="001620D2"/>
    <w:rsid w:val="0016608E"/>
    <w:rsid w:val="00175143"/>
    <w:rsid w:val="001754D7"/>
    <w:rsid w:val="00196723"/>
    <w:rsid w:val="001A1D9B"/>
    <w:rsid w:val="001A4861"/>
    <w:rsid w:val="001C3AD5"/>
    <w:rsid w:val="001C7A8D"/>
    <w:rsid w:val="001D6769"/>
    <w:rsid w:val="001E73E2"/>
    <w:rsid w:val="001E7D43"/>
    <w:rsid w:val="001F60C9"/>
    <w:rsid w:val="0023701F"/>
    <w:rsid w:val="00256401"/>
    <w:rsid w:val="00260680"/>
    <w:rsid w:val="002749BD"/>
    <w:rsid w:val="002A46FA"/>
    <w:rsid w:val="002A62F7"/>
    <w:rsid w:val="002C1AB8"/>
    <w:rsid w:val="002D1090"/>
    <w:rsid w:val="00306E75"/>
    <w:rsid w:val="003122B0"/>
    <w:rsid w:val="00337022"/>
    <w:rsid w:val="00367E4D"/>
    <w:rsid w:val="003741DA"/>
    <w:rsid w:val="003C1D93"/>
    <w:rsid w:val="003D503A"/>
    <w:rsid w:val="003E47FB"/>
    <w:rsid w:val="003F0CAC"/>
    <w:rsid w:val="003F6B36"/>
    <w:rsid w:val="00411CE1"/>
    <w:rsid w:val="00423D22"/>
    <w:rsid w:val="0042537E"/>
    <w:rsid w:val="00446C3D"/>
    <w:rsid w:val="0046688C"/>
    <w:rsid w:val="004A6CD5"/>
    <w:rsid w:val="004C41A7"/>
    <w:rsid w:val="004D6898"/>
    <w:rsid w:val="004E7ACA"/>
    <w:rsid w:val="00520F3F"/>
    <w:rsid w:val="00534023"/>
    <w:rsid w:val="00542412"/>
    <w:rsid w:val="005703A4"/>
    <w:rsid w:val="00570AE9"/>
    <w:rsid w:val="005852B2"/>
    <w:rsid w:val="00595977"/>
    <w:rsid w:val="005A4781"/>
    <w:rsid w:val="005A6388"/>
    <w:rsid w:val="005B6ED8"/>
    <w:rsid w:val="005D5BFE"/>
    <w:rsid w:val="005E108E"/>
    <w:rsid w:val="005E1418"/>
    <w:rsid w:val="005E7954"/>
    <w:rsid w:val="006340F6"/>
    <w:rsid w:val="00655647"/>
    <w:rsid w:val="00661973"/>
    <w:rsid w:val="00674F36"/>
    <w:rsid w:val="00681419"/>
    <w:rsid w:val="00692E21"/>
    <w:rsid w:val="006C22C1"/>
    <w:rsid w:val="006C73B7"/>
    <w:rsid w:val="006D3EE3"/>
    <w:rsid w:val="006E01FF"/>
    <w:rsid w:val="006F3BA6"/>
    <w:rsid w:val="0070503A"/>
    <w:rsid w:val="0070766C"/>
    <w:rsid w:val="007106F7"/>
    <w:rsid w:val="00720516"/>
    <w:rsid w:val="00721483"/>
    <w:rsid w:val="00753EB8"/>
    <w:rsid w:val="007569E2"/>
    <w:rsid w:val="007643A8"/>
    <w:rsid w:val="00765F7C"/>
    <w:rsid w:val="007853FB"/>
    <w:rsid w:val="007D0C25"/>
    <w:rsid w:val="007F4F23"/>
    <w:rsid w:val="008071C7"/>
    <w:rsid w:val="00824E78"/>
    <w:rsid w:val="00826EB1"/>
    <w:rsid w:val="008425B6"/>
    <w:rsid w:val="00843E54"/>
    <w:rsid w:val="00845272"/>
    <w:rsid w:val="00845A08"/>
    <w:rsid w:val="008750C5"/>
    <w:rsid w:val="008754AB"/>
    <w:rsid w:val="008B1C55"/>
    <w:rsid w:val="008C1073"/>
    <w:rsid w:val="008C4C9F"/>
    <w:rsid w:val="008D2BF6"/>
    <w:rsid w:val="008E5E80"/>
    <w:rsid w:val="008F5DAE"/>
    <w:rsid w:val="0090132A"/>
    <w:rsid w:val="00917D5C"/>
    <w:rsid w:val="00922A7A"/>
    <w:rsid w:val="0093352C"/>
    <w:rsid w:val="00933D92"/>
    <w:rsid w:val="00971A38"/>
    <w:rsid w:val="0097301C"/>
    <w:rsid w:val="00995149"/>
    <w:rsid w:val="00997ACA"/>
    <w:rsid w:val="009A3939"/>
    <w:rsid w:val="009A6CB5"/>
    <w:rsid w:val="009A770F"/>
    <w:rsid w:val="009C6AC1"/>
    <w:rsid w:val="009E17A6"/>
    <w:rsid w:val="009E613E"/>
    <w:rsid w:val="00A01EB8"/>
    <w:rsid w:val="00A11878"/>
    <w:rsid w:val="00A14755"/>
    <w:rsid w:val="00A167BC"/>
    <w:rsid w:val="00A41D66"/>
    <w:rsid w:val="00A62161"/>
    <w:rsid w:val="00A67B7D"/>
    <w:rsid w:val="00A80D94"/>
    <w:rsid w:val="00A87FB8"/>
    <w:rsid w:val="00A949C6"/>
    <w:rsid w:val="00A94B9B"/>
    <w:rsid w:val="00A97027"/>
    <w:rsid w:val="00AA1EA8"/>
    <w:rsid w:val="00AB1E3B"/>
    <w:rsid w:val="00AC653C"/>
    <w:rsid w:val="00AD2A44"/>
    <w:rsid w:val="00AD5C5D"/>
    <w:rsid w:val="00AF2765"/>
    <w:rsid w:val="00B02228"/>
    <w:rsid w:val="00B03F32"/>
    <w:rsid w:val="00B134F0"/>
    <w:rsid w:val="00B209AD"/>
    <w:rsid w:val="00B228E9"/>
    <w:rsid w:val="00B23722"/>
    <w:rsid w:val="00B37BA6"/>
    <w:rsid w:val="00B45049"/>
    <w:rsid w:val="00B60069"/>
    <w:rsid w:val="00B94210"/>
    <w:rsid w:val="00BA20E9"/>
    <w:rsid w:val="00BB31A7"/>
    <w:rsid w:val="00BC3525"/>
    <w:rsid w:val="00BC5FEC"/>
    <w:rsid w:val="00BD24A5"/>
    <w:rsid w:val="00BE3454"/>
    <w:rsid w:val="00BE5152"/>
    <w:rsid w:val="00BF148D"/>
    <w:rsid w:val="00C01F78"/>
    <w:rsid w:val="00C353ED"/>
    <w:rsid w:val="00C3645E"/>
    <w:rsid w:val="00C36F9D"/>
    <w:rsid w:val="00C447E8"/>
    <w:rsid w:val="00C67533"/>
    <w:rsid w:val="00C85CDA"/>
    <w:rsid w:val="00C871C0"/>
    <w:rsid w:val="00C926C7"/>
    <w:rsid w:val="00CC097D"/>
    <w:rsid w:val="00CD0D5A"/>
    <w:rsid w:val="00CE3E82"/>
    <w:rsid w:val="00CE53A7"/>
    <w:rsid w:val="00CF3BDF"/>
    <w:rsid w:val="00D0183D"/>
    <w:rsid w:val="00D12606"/>
    <w:rsid w:val="00D16D85"/>
    <w:rsid w:val="00D20062"/>
    <w:rsid w:val="00D20902"/>
    <w:rsid w:val="00D363A3"/>
    <w:rsid w:val="00D652E8"/>
    <w:rsid w:val="00D77E4F"/>
    <w:rsid w:val="00D80971"/>
    <w:rsid w:val="00D86A53"/>
    <w:rsid w:val="00DB07C3"/>
    <w:rsid w:val="00DD7A49"/>
    <w:rsid w:val="00E13B01"/>
    <w:rsid w:val="00EB39F6"/>
    <w:rsid w:val="00ED424C"/>
    <w:rsid w:val="00ED7A2C"/>
    <w:rsid w:val="00EF780F"/>
    <w:rsid w:val="00F04106"/>
    <w:rsid w:val="00F114D5"/>
    <w:rsid w:val="00F24244"/>
    <w:rsid w:val="00F2667A"/>
    <w:rsid w:val="00F2718C"/>
    <w:rsid w:val="00F52246"/>
    <w:rsid w:val="00F63F70"/>
    <w:rsid w:val="00F870E5"/>
    <w:rsid w:val="00F87674"/>
    <w:rsid w:val="00FD1B20"/>
    <w:rsid w:val="00FE1A12"/>
    <w:rsid w:val="00FF6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8EFED"/>
  <w15:chartTrackingRefBased/>
  <w15:docId w15:val="{233EF49D-805E-4CB3-8602-75513AF8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E78"/>
    <w:pPr>
      <w:widowControl w:val="0"/>
      <w:autoSpaceDE w:val="0"/>
      <w:autoSpaceDN w:val="0"/>
      <w:spacing w:after="0" w:line="240" w:lineRule="auto"/>
    </w:pPr>
    <w:rPr>
      <w:rFonts w:ascii="Arial" w:eastAsia="Arial" w:hAnsi="Arial" w:cs="Arial"/>
      <w:kern w:val="0"/>
      <w:sz w:val="22"/>
      <w:szCs w:val="22"/>
      <w:lang w:val="en-US"/>
      <w14:ligatures w14:val="none"/>
    </w:rPr>
  </w:style>
  <w:style w:type="paragraph" w:styleId="Heading1">
    <w:name w:val="heading 1"/>
    <w:basedOn w:val="Normal"/>
    <w:next w:val="Normal"/>
    <w:link w:val="Heading1Char"/>
    <w:uiPriority w:val="9"/>
    <w:qFormat/>
    <w:rsid w:val="00824E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4E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4E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4E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4E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4E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4E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4E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4E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E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4E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4E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4E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4E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4E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4E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4E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4E78"/>
    <w:rPr>
      <w:rFonts w:eastAsiaTheme="majorEastAsia" w:cstheme="majorBidi"/>
      <w:color w:val="272727" w:themeColor="text1" w:themeTint="D8"/>
    </w:rPr>
  </w:style>
  <w:style w:type="paragraph" w:styleId="Title">
    <w:name w:val="Title"/>
    <w:basedOn w:val="Normal"/>
    <w:next w:val="Normal"/>
    <w:link w:val="TitleChar"/>
    <w:uiPriority w:val="10"/>
    <w:qFormat/>
    <w:rsid w:val="00824E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E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4E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4E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4E78"/>
    <w:pPr>
      <w:spacing w:before="160"/>
      <w:jc w:val="center"/>
    </w:pPr>
    <w:rPr>
      <w:i/>
      <w:iCs/>
      <w:color w:val="404040" w:themeColor="text1" w:themeTint="BF"/>
    </w:rPr>
  </w:style>
  <w:style w:type="character" w:customStyle="1" w:styleId="QuoteChar">
    <w:name w:val="Quote Char"/>
    <w:basedOn w:val="DefaultParagraphFont"/>
    <w:link w:val="Quote"/>
    <w:uiPriority w:val="29"/>
    <w:rsid w:val="00824E78"/>
    <w:rPr>
      <w:i/>
      <w:iCs/>
      <w:color w:val="404040" w:themeColor="text1" w:themeTint="BF"/>
    </w:rPr>
  </w:style>
  <w:style w:type="paragraph" w:styleId="ListParagraph">
    <w:name w:val="List Paragraph"/>
    <w:basedOn w:val="Normal"/>
    <w:uiPriority w:val="34"/>
    <w:qFormat/>
    <w:rsid w:val="00824E78"/>
    <w:pPr>
      <w:ind w:left="720"/>
      <w:contextualSpacing/>
    </w:pPr>
  </w:style>
  <w:style w:type="character" w:styleId="IntenseEmphasis">
    <w:name w:val="Intense Emphasis"/>
    <w:basedOn w:val="DefaultParagraphFont"/>
    <w:uiPriority w:val="21"/>
    <w:qFormat/>
    <w:rsid w:val="00824E78"/>
    <w:rPr>
      <w:i/>
      <w:iCs/>
      <w:color w:val="0F4761" w:themeColor="accent1" w:themeShade="BF"/>
    </w:rPr>
  </w:style>
  <w:style w:type="paragraph" w:styleId="IntenseQuote">
    <w:name w:val="Intense Quote"/>
    <w:basedOn w:val="Normal"/>
    <w:next w:val="Normal"/>
    <w:link w:val="IntenseQuoteChar"/>
    <w:uiPriority w:val="30"/>
    <w:qFormat/>
    <w:rsid w:val="00824E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4E78"/>
    <w:rPr>
      <w:i/>
      <w:iCs/>
      <w:color w:val="0F4761" w:themeColor="accent1" w:themeShade="BF"/>
    </w:rPr>
  </w:style>
  <w:style w:type="character" w:styleId="IntenseReference">
    <w:name w:val="Intense Reference"/>
    <w:basedOn w:val="DefaultParagraphFont"/>
    <w:uiPriority w:val="32"/>
    <w:qFormat/>
    <w:rsid w:val="00824E78"/>
    <w:rPr>
      <w:b/>
      <w:bCs/>
      <w:smallCaps/>
      <w:color w:val="0F4761" w:themeColor="accent1" w:themeShade="BF"/>
      <w:spacing w:val="5"/>
    </w:rPr>
  </w:style>
  <w:style w:type="paragraph" w:styleId="BodyText">
    <w:name w:val="Body Text"/>
    <w:basedOn w:val="Normal"/>
    <w:link w:val="BodyTextChar"/>
    <w:uiPriority w:val="1"/>
    <w:qFormat/>
    <w:rsid w:val="00824E78"/>
    <w:rPr>
      <w:sz w:val="28"/>
      <w:szCs w:val="28"/>
    </w:rPr>
  </w:style>
  <w:style w:type="character" w:customStyle="1" w:styleId="BodyTextChar">
    <w:name w:val="Body Text Char"/>
    <w:basedOn w:val="DefaultParagraphFont"/>
    <w:link w:val="BodyText"/>
    <w:uiPriority w:val="1"/>
    <w:rsid w:val="00824E78"/>
    <w:rPr>
      <w:rFonts w:ascii="Arial" w:eastAsia="Arial" w:hAnsi="Arial" w:cs="Arial"/>
      <w:kern w:val="0"/>
      <w:sz w:val="28"/>
      <w:szCs w:val="28"/>
      <w:lang w:val="en-US"/>
      <w14:ligatures w14:val="none"/>
    </w:rPr>
  </w:style>
  <w:style w:type="paragraph" w:customStyle="1" w:styleId="TableParagraph">
    <w:name w:val="Table Paragraph"/>
    <w:basedOn w:val="Normal"/>
    <w:uiPriority w:val="1"/>
    <w:qFormat/>
    <w:rsid w:val="00824E78"/>
  </w:style>
  <w:style w:type="paragraph" w:styleId="Header">
    <w:name w:val="header"/>
    <w:basedOn w:val="Normal"/>
    <w:link w:val="HeaderChar"/>
    <w:uiPriority w:val="99"/>
    <w:unhideWhenUsed/>
    <w:rsid w:val="00B03F32"/>
    <w:pPr>
      <w:tabs>
        <w:tab w:val="center" w:pos="4513"/>
        <w:tab w:val="right" w:pos="9026"/>
      </w:tabs>
    </w:pPr>
  </w:style>
  <w:style w:type="character" w:customStyle="1" w:styleId="HeaderChar">
    <w:name w:val="Header Char"/>
    <w:basedOn w:val="DefaultParagraphFont"/>
    <w:link w:val="Header"/>
    <w:uiPriority w:val="99"/>
    <w:rsid w:val="00B03F32"/>
    <w:rPr>
      <w:rFonts w:ascii="Arial" w:eastAsia="Arial" w:hAnsi="Arial" w:cs="Arial"/>
      <w:kern w:val="0"/>
      <w:sz w:val="22"/>
      <w:szCs w:val="22"/>
      <w:lang w:val="en-US"/>
      <w14:ligatures w14:val="none"/>
    </w:rPr>
  </w:style>
  <w:style w:type="paragraph" w:styleId="Footer">
    <w:name w:val="footer"/>
    <w:basedOn w:val="Normal"/>
    <w:link w:val="FooterChar"/>
    <w:uiPriority w:val="99"/>
    <w:unhideWhenUsed/>
    <w:rsid w:val="00B03F32"/>
    <w:pPr>
      <w:tabs>
        <w:tab w:val="center" w:pos="4513"/>
        <w:tab w:val="right" w:pos="9026"/>
      </w:tabs>
    </w:pPr>
  </w:style>
  <w:style w:type="character" w:customStyle="1" w:styleId="FooterChar">
    <w:name w:val="Footer Char"/>
    <w:basedOn w:val="DefaultParagraphFont"/>
    <w:link w:val="Footer"/>
    <w:uiPriority w:val="99"/>
    <w:rsid w:val="00B03F32"/>
    <w:rPr>
      <w:rFonts w:ascii="Arial" w:eastAsia="Arial" w:hAnsi="Arial" w:cs="Arial"/>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98660">
      <w:bodyDiv w:val="1"/>
      <w:marLeft w:val="0"/>
      <w:marRight w:val="0"/>
      <w:marTop w:val="0"/>
      <w:marBottom w:val="0"/>
      <w:divBdr>
        <w:top w:val="none" w:sz="0" w:space="0" w:color="auto"/>
        <w:left w:val="none" w:sz="0" w:space="0" w:color="auto"/>
        <w:bottom w:val="none" w:sz="0" w:space="0" w:color="auto"/>
        <w:right w:val="none" w:sz="0" w:space="0" w:color="auto"/>
      </w:divBdr>
    </w:div>
    <w:div w:id="140737512">
      <w:bodyDiv w:val="1"/>
      <w:marLeft w:val="0"/>
      <w:marRight w:val="0"/>
      <w:marTop w:val="0"/>
      <w:marBottom w:val="0"/>
      <w:divBdr>
        <w:top w:val="none" w:sz="0" w:space="0" w:color="auto"/>
        <w:left w:val="none" w:sz="0" w:space="0" w:color="auto"/>
        <w:bottom w:val="none" w:sz="0" w:space="0" w:color="auto"/>
        <w:right w:val="none" w:sz="0" w:space="0" w:color="auto"/>
      </w:divBdr>
    </w:div>
    <w:div w:id="148180225">
      <w:bodyDiv w:val="1"/>
      <w:marLeft w:val="0"/>
      <w:marRight w:val="0"/>
      <w:marTop w:val="0"/>
      <w:marBottom w:val="0"/>
      <w:divBdr>
        <w:top w:val="none" w:sz="0" w:space="0" w:color="auto"/>
        <w:left w:val="none" w:sz="0" w:space="0" w:color="auto"/>
        <w:bottom w:val="none" w:sz="0" w:space="0" w:color="auto"/>
        <w:right w:val="none" w:sz="0" w:space="0" w:color="auto"/>
      </w:divBdr>
    </w:div>
    <w:div w:id="496112116">
      <w:bodyDiv w:val="1"/>
      <w:marLeft w:val="0"/>
      <w:marRight w:val="0"/>
      <w:marTop w:val="0"/>
      <w:marBottom w:val="0"/>
      <w:divBdr>
        <w:top w:val="none" w:sz="0" w:space="0" w:color="auto"/>
        <w:left w:val="none" w:sz="0" w:space="0" w:color="auto"/>
        <w:bottom w:val="none" w:sz="0" w:space="0" w:color="auto"/>
        <w:right w:val="none" w:sz="0" w:space="0" w:color="auto"/>
      </w:divBdr>
    </w:div>
    <w:div w:id="1048726650">
      <w:bodyDiv w:val="1"/>
      <w:marLeft w:val="0"/>
      <w:marRight w:val="0"/>
      <w:marTop w:val="0"/>
      <w:marBottom w:val="0"/>
      <w:divBdr>
        <w:top w:val="none" w:sz="0" w:space="0" w:color="auto"/>
        <w:left w:val="none" w:sz="0" w:space="0" w:color="auto"/>
        <w:bottom w:val="none" w:sz="0" w:space="0" w:color="auto"/>
        <w:right w:val="none" w:sz="0" w:space="0" w:color="auto"/>
      </w:divBdr>
    </w:div>
    <w:div w:id="1118455101">
      <w:bodyDiv w:val="1"/>
      <w:marLeft w:val="0"/>
      <w:marRight w:val="0"/>
      <w:marTop w:val="0"/>
      <w:marBottom w:val="0"/>
      <w:divBdr>
        <w:top w:val="none" w:sz="0" w:space="0" w:color="auto"/>
        <w:left w:val="none" w:sz="0" w:space="0" w:color="auto"/>
        <w:bottom w:val="none" w:sz="0" w:space="0" w:color="auto"/>
        <w:right w:val="none" w:sz="0" w:space="0" w:color="auto"/>
      </w:divBdr>
    </w:div>
    <w:div w:id="1245601818">
      <w:bodyDiv w:val="1"/>
      <w:marLeft w:val="0"/>
      <w:marRight w:val="0"/>
      <w:marTop w:val="0"/>
      <w:marBottom w:val="0"/>
      <w:divBdr>
        <w:top w:val="none" w:sz="0" w:space="0" w:color="auto"/>
        <w:left w:val="none" w:sz="0" w:space="0" w:color="auto"/>
        <w:bottom w:val="none" w:sz="0" w:space="0" w:color="auto"/>
        <w:right w:val="none" w:sz="0" w:space="0" w:color="auto"/>
      </w:divBdr>
    </w:div>
    <w:div w:id="1247686488">
      <w:bodyDiv w:val="1"/>
      <w:marLeft w:val="0"/>
      <w:marRight w:val="0"/>
      <w:marTop w:val="0"/>
      <w:marBottom w:val="0"/>
      <w:divBdr>
        <w:top w:val="none" w:sz="0" w:space="0" w:color="auto"/>
        <w:left w:val="none" w:sz="0" w:space="0" w:color="auto"/>
        <w:bottom w:val="none" w:sz="0" w:space="0" w:color="auto"/>
        <w:right w:val="none" w:sz="0" w:space="0" w:color="auto"/>
      </w:divBdr>
    </w:div>
    <w:div w:id="1414429798">
      <w:bodyDiv w:val="1"/>
      <w:marLeft w:val="0"/>
      <w:marRight w:val="0"/>
      <w:marTop w:val="0"/>
      <w:marBottom w:val="0"/>
      <w:divBdr>
        <w:top w:val="none" w:sz="0" w:space="0" w:color="auto"/>
        <w:left w:val="none" w:sz="0" w:space="0" w:color="auto"/>
        <w:bottom w:val="none" w:sz="0" w:space="0" w:color="auto"/>
        <w:right w:val="none" w:sz="0" w:space="0" w:color="auto"/>
      </w:divBdr>
    </w:div>
    <w:div w:id="1709255604">
      <w:bodyDiv w:val="1"/>
      <w:marLeft w:val="0"/>
      <w:marRight w:val="0"/>
      <w:marTop w:val="0"/>
      <w:marBottom w:val="0"/>
      <w:divBdr>
        <w:top w:val="none" w:sz="0" w:space="0" w:color="auto"/>
        <w:left w:val="none" w:sz="0" w:space="0" w:color="auto"/>
        <w:bottom w:val="none" w:sz="0" w:space="0" w:color="auto"/>
        <w:right w:val="none" w:sz="0" w:space="0" w:color="auto"/>
      </w:divBdr>
    </w:div>
    <w:div w:id="1811823482">
      <w:bodyDiv w:val="1"/>
      <w:marLeft w:val="0"/>
      <w:marRight w:val="0"/>
      <w:marTop w:val="0"/>
      <w:marBottom w:val="0"/>
      <w:divBdr>
        <w:top w:val="none" w:sz="0" w:space="0" w:color="auto"/>
        <w:left w:val="none" w:sz="0" w:space="0" w:color="auto"/>
        <w:bottom w:val="none" w:sz="0" w:space="0" w:color="auto"/>
        <w:right w:val="none" w:sz="0" w:space="0" w:color="auto"/>
      </w:divBdr>
    </w:div>
    <w:div w:id="208144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733c71-d1b6-4a86-8924-72355f3f55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2B0619E48DB146BF4E7EA6A45D2A6B" ma:contentTypeVersion="9" ma:contentTypeDescription="Create a new document." ma:contentTypeScope="" ma:versionID="8fb18d32628c8c4985fbe4720c38ab00">
  <xsd:schema xmlns:xsd="http://www.w3.org/2001/XMLSchema" xmlns:xs="http://www.w3.org/2001/XMLSchema" xmlns:p="http://schemas.microsoft.com/office/2006/metadata/properties" xmlns:ns2="35733c71-d1b6-4a86-8924-72355f3f55dc" targetNamespace="http://schemas.microsoft.com/office/2006/metadata/properties" ma:root="true" ma:fieldsID="24397855ff975645420deeec56677e49" ns2:_="">
    <xsd:import namespace="35733c71-d1b6-4a86-8924-72355f3f55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33c71-d1b6-4a86-8924-72355f3f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9bec46d-453a-405f-9dc7-db8e94f2710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7E4CCF-9AF6-4174-B8DF-C159AF8AB185}">
  <ds:schemaRefs>
    <ds:schemaRef ds:uri="http://schemas.microsoft.com/office/2006/metadata/properties"/>
    <ds:schemaRef ds:uri="http://schemas.microsoft.com/office/infopath/2007/PartnerControls"/>
    <ds:schemaRef ds:uri="35733c71-d1b6-4a86-8924-72355f3f55dc"/>
  </ds:schemaRefs>
</ds:datastoreItem>
</file>

<file path=customXml/itemProps2.xml><?xml version="1.0" encoding="utf-8"?>
<ds:datastoreItem xmlns:ds="http://schemas.openxmlformats.org/officeDocument/2006/customXml" ds:itemID="{14E1B72D-88C4-425F-A169-2245A8B42CF7}">
  <ds:schemaRefs>
    <ds:schemaRef ds:uri="http://schemas.microsoft.com/sharepoint/v3/contenttype/forms"/>
  </ds:schemaRefs>
</ds:datastoreItem>
</file>

<file path=customXml/itemProps3.xml><?xml version="1.0" encoding="utf-8"?>
<ds:datastoreItem xmlns:ds="http://schemas.openxmlformats.org/officeDocument/2006/customXml" ds:itemID="{758826C4-2F66-4CA2-ADEE-BA2F65338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733c71-d1b6-4a86-8924-72355f3f5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7</Pages>
  <Words>2837</Words>
  <Characters>16176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Muir</dc:creator>
  <cp:keywords/>
  <dc:description/>
  <cp:lastModifiedBy>Steven Taylor</cp:lastModifiedBy>
  <cp:revision>200</cp:revision>
  <dcterms:created xsi:type="dcterms:W3CDTF">2025-09-02T14:18:00Z</dcterms:created>
  <dcterms:modified xsi:type="dcterms:W3CDTF">2025-09-09T13:52:00Z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0x010100A92B0619E48DB146BF4E7EA6A45D2A6B</vt:lpwstr>
  </property>
  <property fmtid="{D5CDD505-2E9C-101B-9397-08002B2CF9AE}" pid="3" name="MediaServiceImageTags">
    <vt:lpwstr/>
  </property>
</Properties>
</file>