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67C2CE" w14:textId="77777777" w:rsidR="00636C70" w:rsidRPr="002F6F31" w:rsidRDefault="00636C70" w:rsidP="00636C70">
      <w:pPr>
        <w:pStyle w:val="Heading1"/>
        <w:spacing w:before="130"/>
        <w:rPr>
          <w:rFonts w:ascii="Arial" w:hAnsi="Arial" w:cs="Arial"/>
          <w:b/>
          <w:bCs/>
          <w:sz w:val="36"/>
          <w:szCs w:val="36"/>
        </w:rPr>
      </w:pPr>
      <w:r w:rsidRPr="002F6F31">
        <w:rPr>
          <w:rFonts w:ascii="Arial" w:hAnsi="Arial" w:cs="Arial"/>
          <w:b/>
          <w:bCs/>
          <w:noProof/>
          <w:color w:val="auto"/>
          <w:sz w:val="36"/>
          <w:szCs w:val="36"/>
          <w:lang w:val="en-GB" w:eastAsia="en-GB"/>
        </w:rPr>
        <w:drawing>
          <wp:anchor distT="0" distB="0" distL="0" distR="0" simplePos="0" relativeHeight="251659264" behindDoc="0" locked="0" layoutInCell="1" allowOverlap="1" wp14:anchorId="372CC2BD" wp14:editId="4B37B110">
            <wp:simplePos x="0" y="0"/>
            <wp:positionH relativeFrom="page">
              <wp:posOffset>6218084</wp:posOffset>
            </wp:positionH>
            <wp:positionV relativeFrom="paragraph">
              <wp:posOffset>-5064</wp:posOffset>
            </wp:positionV>
            <wp:extent cx="751439" cy="863130"/>
            <wp:effectExtent l="0" t="0" r="0" b="0"/>
            <wp:wrapNone/>
            <wp:docPr id="1" name="Picture 1" descr="logo_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0" cstate="print"/>
                    <a:stretch>
                      <a:fillRect/>
                    </a:stretch>
                  </pic:blipFill>
                  <pic:spPr>
                    <a:xfrm>
                      <a:off x="0" y="0"/>
                      <a:ext cx="751439" cy="863130"/>
                    </a:xfrm>
                    <a:prstGeom prst="rect">
                      <a:avLst/>
                    </a:prstGeom>
                  </pic:spPr>
                </pic:pic>
              </a:graphicData>
            </a:graphic>
          </wp:anchor>
        </w:drawing>
      </w:r>
      <w:r w:rsidRPr="002F6F31">
        <w:rPr>
          <w:rFonts w:ascii="Arial" w:hAnsi="Arial" w:cs="Arial"/>
          <w:b/>
          <w:bCs/>
          <w:color w:val="auto"/>
          <w:sz w:val="36"/>
          <w:szCs w:val="36"/>
        </w:rPr>
        <w:t>BOARD OF MANAGEMENT</w:t>
      </w:r>
    </w:p>
    <w:p w14:paraId="7EA93585" w14:textId="77777777" w:rsidR="00636C70" w:rsidRDefault="00636C70" w:rsidP="00636C70">
      <w:pPr>
        <w:spacing w:before="1"/>
        <w:rPr>
          <w:b/>
          <w:sz w:val="32"/>
        </w:rPr>
      </w:pPr>
    </w:p>
    <w:p w14:paraId="3C77239B" w14:textId="7AFF5856" w:rsidR="00636C70" w:rsidRDefault="00E71434" w:rsidP="00636C70">
      <w:pPr>
        <w:rPr>
          <w:b/>
          <w:sz w:val="32"/>
        </w:rPr>
      </w:pPr>
      <w:r>
        <w:rPr>
          <w:b/>
          <w:sz w:val="32"/>
        </w:rPr>
        <w:t>People, Culture and Wellbeing</w:t>
      </w:r>
      <w:r w:rsidR="00636C70">
        <w:rPr>
          <w:b/>
          <w:sz w:val="32"/>
        </w:rPr>
        <w:t xml:space="preserve"> Committee</w:t>
      </w:r>
    </w:p>
    <w:p w14:paraId="419DC78D" w14:textId="77777777" w:rsidR="00636C70" w:rsidRDefault="00636C70" w:rsidP="00636C70">
      <w:pPr>
        <w:spacing w:before="2"/>
        <w:rPr>
          <w:b/>
          <w:sz w:val="32"/>
        </w:rPr>
      </w:pPr>
    </w:p>
    <w:p w14:paraId="5CFD48AF" w14:textId="77777777" w:rsidR="00636C70" w:rsidRPr="00D469BE" w:rsidRDefault="00636C70" w:rsidP="00636C70">
      <w:pPr>
        <w:pStyle w:val="BodyText"/>
        <w:ind w:right="2835"/>
      </w:pPr>
      <w:r w:rsidRPr="00D469BE">
        <w:rPr>
          <w:noProof/>
        </w:rPr>
        <mc:AlternateContent>
          <mc:Choice Requires="wps">
            <w:drawing>
              <wp:anchor distT="0" distB="0" distL="114300" distR="114300" simplePos="0" relativeHeight="251660288" behindDoc="1" locked="0" layoutInCell="1" allowOverlap="1" wp14:anchorId="32909BF0" wp14:editId="70BB19F4">
                <wp:simplePos x="0" y="0"/>
                <wp:positionH relativeFrom="page">
                  <wp:posOffset>622300</wp:posOffset>
                </wp:positionH>
                <wp:positionV relativeFrom="paragraph">
                  <wp:posOffset>618490</wp:posOffset>
                </wp:positionV>
                <wp:extent cx="6424295"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2429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8BB3BE" id="Straight Connector 2" o:spid="_x0000_s1026"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9pt,48.7pt" to="554.85pt,4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" strokeweight="1.5pt">
                <w10:wrap anchorx="page"/>
              </v:line>
            </w:pict>
          </mc:Fallback>
        </mc:AlternateContent>
      </w:r>
      <w:r w:rsidRPr="00D469BE">
        <w:t xml:space="preserve">Thursday </w:t>
      </w:r>
      <w:r>
        <w:t>22 May 2025</w:t>
      </w:r>
      <w:r w:rsidRPr="00D469BE">
        <w:t xml:space="preserve"> at 5.00pm </w:t>
      </w:r>
      <w:r w:rsidRPr="00D469BE">
        <w:rPr>
          <w:b/>
          <w:bCs/>
          <w:u w:val="single"/>
        </w:rPr>
        <w:t xml:space="preserve">Room </w:t>
      </w:r>
      <w:r>
        <w:rPr>
          <w:b/>
          <w:bCs/>
          <w:u w:val="single"/>
        </w:rPr>
        <w:t>K-TO-624</w:t>
      </w:r>
      <w:r w:rsidRPr="00D469BE">
        <w:rPr>
          <w:b/>
          <w:bCs/>
          <w:u w:val="single"/>
        </w:rPr>
        <w:t xml:space="preserve">, Kingsway Campus </w:t>
      </w:r>
      <w:r w:rsidRPr="00D469BE">
        <w:t>(MS Teams option available)</w:t>
      </w:r>
    </w:p>
    <w:p w14:paraId="7BDA40F4" w14:textId="77777777" w:rsidR="00636C70" w:rsidRDefault="00636C70" w:rsidP="00636C70">
      <w:pPr>
        <w:rPr>
          <w:sz w:val="30"/>
        </w:rPr>
      </w:pPr>
    </w:p>
    <w:p w14:paraId="7EFAD99B" w14:textId="77777777" w:rsidR="00636C70" w:rsidRDefault="00636C70" w:rsidP="00636C70">
      <w:pPr>
        <w:rPr>
          <w:sz w:val="30"/>
        </w:rPr>
      </w:pPr>
    </w:p>
    <w:p w14:paraId="1A424FDC" w14:textId="381F4646" w:rsidR="00636C70" w:rsidRPr="00295191" w:rsidRDefault="00636C70" w:rsidP="00636C70">
      <w:pPr>
        <w:pStyle w:val="Heading2"/>
        <w:spacing w:before="84"/>
        <w:rPr>
          <w:rFonts w:ascii="Arial" w:hAnsi="Arial" w:cs="Arial"/>
          <w:color w:val="auto"/>
          <w:sz w:val="22"/>
          <w:szCs w:val="22"/>
          <w:lang w:val="en-GB"/>
        </w:rPr>
      </w:pPr>
      <w:r w:rsidRPr="00295191">
        <w:rPr>
          <w:rFonts w:ascii="Arial" w:hAnsi="Arial" w:cs="Arial"/>
          <w:color w:val="auto"/>
          <w:sz w:val="22"/>
          <w:szCs w:val="22"/>
          <w:lang w:val="en-GB"/>
        </w:rPr>
        <w:t xml:space="preserve">Minute of the </w:t>
      </w:r>
      <w:r w:rsidR="006D3B9B">
        <w:rPr>
          <w:rFonts w:ascii="Arial" w:hAnsi="Arial" w:cs="Arial"/>
          <w:color w:val="auto"/>
          <w:sz w:val="22"/>
          <w:szCs w:val="22"/>
          <w:lang w:val="en-GB"/>
        </w:rPr>
        <w:t xml:space="preserve">People, Culture and Wellbeing </w:t>
      </w:r>
      <w:r w:rsidRPr="00295191">
        <w:rPr>
          <w:rFonts w:ascii="Arial" w:hAnsi="Arial" w:cs="Arial"/>
          <w:color w:val="auto"/>
          <w:sz w:val="22"/>
          <w:szCs w:val="22"/>
          <w:lang w:val="en-GB"/>
        </w:rPr>
        <w:t xml:space="preserve">Committee meeting held on Thursday </w:t>
      </w:r>
      <w:r>
        <w:rPr>
          <w:rFonts w:ascii="Arial" w:hAnsi="Arial" w:cs="Arial"/>
          <w:color w:val="auto"/>
          <w:sz w:val="22"/>
          <w:szCs w:val="22"/>
          <w:lang w:val="en-GB"/>
        </w:rPr>
        <w:t>22</w:t>
      </w:r>
      <w:r w:rsidRPr="00295191">
        <w:rPr>
          <w:rFonts w:ascii="Arial" w:hAnsi="Arial" w:cs="Arial"/>
          <w:color w:val="auto"/>
          <w:sz w:val="22"/>
          <w:szCs w:val="22"/>
          <w:lang w:val="en-GB"/>
        </w:rPr>
        <w:t xml:space="preserve"> </w:t>
      </w:r>
      <w:r>
        <w:rPr>
          <w:rFonts w:ascii="Arial" w:hAnsi="Arial" w:cs="Arial"/>
          <w:color w:val="auto"/>
          <w:sz w:val="22"/>
          <w:szCs w:val="22"/>
          <w:lang w:val="en-GB"/>
        </w:rPr>
        <w:t xml:space="preserve">May 2025 </w:t>
      </w:r>
      <w:r w:rsidRPr="00295191">
        <w:rPr>
          <w:rFonts w:ascii="Arial" w:hAnsi="Arial" w:cs="Arial"/>
          <w:color w:val="auto"/>
          <w:sz w:val="22"/>
          <w:szCs w:val="22"/>
          <w:lang w:val="en-GB"/>
        </w:rPr>
        <w:t xml:space="preserve">at 5.00pm, in Room </w:t>
      </w:r>
      <w:r>
        <w:rPr>
          <w:rFonts w:ascii="Arial" w:hAnsi="Arial" w:cs="Arial"/>
          <w:color w:val="auto"/>
          <w:sz w:val="22"/>
          <w:szCs w:val="22"/>
          <w:lang w:val="en-GB"/>
        </w:rPr>
        <w:t>K-TO-</w:t>
      </w:r>
      <w:r w:rsidRPr="00295191">
        <w:rPr>
          <w:rFonts w:ascii="Arial" w:hAnsi="Arial" w:cs="Arial"/>
          <w:color w:val="auto"/>
          <w:sz w:val="22"/>
          <w:szCs w:val="22"/>
          <w:lang w:val="en-GB"/>
        </w:rPr>
        <w:t>62</w:t>
      </w:r>
      <w:r>
        <w:rPr>
          <w:rFonts w:ascii="Arial" w:hAnsi="Arial" w:cs="Arial"/>
          <w:color w:val="auto"/>
          <w:sz w:val="22"/>
          <w:szCs w:val="22"/>
          <w:lang w:val="en-GB"/>
        </w:rPr>
        <w:t>4</w:t>
      </w:r>
      <w:r w:rsidRPr="00295191">
        <w:rPr>
          <w:rFonts w:ascii="Arial" w:hAnsi="Arial" w:cs="Arial"/>
          <w:color w:val="auto"/>
          <w:sz w:val="22"/>
          <w:szCs w:val="22"/>
          <w:lang w:val="en-GB"/>
        </w:rPr>
        <w:t xml:space="preserve">, Kingsway Campus. </w:t>
      </w:r>
    </w:p>
    <w:p w14:paraId="7CFE7C97" w14:textId="77777777" w:rsidR="00636C70" w:rsidRPr="00D43501" w:rsidRDefault="00636C70" w:rsidP="00636C70">
      <w:pPr>
        <w:pStyle w:val="BodyText"/>
        <w:rPr>
          <w:b/>
          <w:sz w:val="20"/>
          <w:lang w:val="en-GB"/>
        </w:rPr>
      </w:pPr>
    </w:p>
    <w:tbl>
      <w:tblPr>
        <w:tblW w:w="9923" w:type="dxa"/>
        <w:tblLayout w:type="fixed"/>
        <w:tblCellMar>
          <w:left w:w="0" w:type="dxa"/>
          <w:right w:w="0" w:type="dxa"/>
        </w:tblCellMar>
        <w:tblLook w:val="01E0" w:firstRow="1" w:lastRow="1" w:firstColumn="1" w:lastColumn="1" w:noHBand="0" w:noVBand="0"/>
      </w:tblPr>
      <w:tblGrid>
        <w:gridCol w:w="1985"/>
        <w:gridCol w:w="3402"/>
        <w:gridCol w:w="4536"/>
      </w:tblGrid>
      <w:tr w:rsidR="00636C70" w:rsidRPr="00D43501" w14:paraId="7133DD91" w14:textId="77777777" w:rsidTr="00A41DEB">
        <w:trPr>
          <w:trHeight w:val="113"/>
        </w:trPr>
        <w:tc>
          <w:tcPr>
            <w:tcW w:w="1985" w:type="dxa"/>
          </w:tcPr>
          <w:p w14:paraId="49FEAC9C" w14:textId="77777777" w:rsidR="00636C70" w:rsidRPr="00FE60E7" w:rsidRDefault="00636C70" w:rsidP="00A41DEB">
            <w:pPr>
              <w:pStyle w:val="TableParagraph"/>
              <w:spacing w:after="40" w:line="233" w:lineRule="exact"/>
              <w:rPr>
                <w:b/>
                <w:lang w:val="en-GB"/>
              </w:rPr>
            </w:pPr>
            <w:r w:rsidRPr="00FE60E7">
              <w:rPr>
                <w:b/>
                <w:lang w:val="en-GB"/>
              </w:rPr>
              <w:t>PRESENT:</w:t>
            </w:r>
          </w:p>
        </w:tc>
        <w:tc>
          <w:tcPr>
            <w:tcW w:w="3402" w:type="dxa"/>
          </w:tcPr>
          <w:p w14:paraId="4A30AAF9" w14:textId="77777777" w:rsidR="00636C70" w:rsidRPr="00DC7422" w:rsidRDefault="00636C70" w:rsidP="00A41DEB">
            <w:pPr>
              <w:pStyle w:val="TableParagraph"/>
              <w:spacing w:after="40" w:line="233" w:lineRule="exact"/>
              <w:rPr>
                <w:color w:val="000000" w:themeColor="text1"/>
                <w:lang w:val="en-GB"/>
              </w:rPr>
            </w:pPr>
            <w:r w:rsidRPr="00DC7422">
              <w:rPr>
                <w:color w:val="000000" w:themeColor="text1"/>
                <w:lang w:val="en-GB"/>
              </w:rPr>
              <w:t>Donald Mackenzie</w:t>
            </w:r>
          </w:p>
        </w:tc>
        <w:tc>
          <w:tcPr>
            <w:tcW w:w="4536" w:type="dxa"/>
          </w:tcPr>
          <w:p w14:paraId="481BE52D" w14:textId="4E8222F1" w:rsidR="00636C70" w:rsidRPr="00F24F31" w:rsidRDefault="00E34607" w:rsidP="00A41DEB">
            <w:pPr>
              <w:pStyle w:val="TableParagraph"/>
              <w:spacing w:after="40"/>
              <w:jc w:val="both"/>
              <w:rPr>
                <w:color w:val="000000" w:themeColor="text1"/>
                <w:lang w:val="en-GB"/>
              </w:rPr>
            </w:pPr>
            <w:r w:rsidRPr="00F24F31">
              <w:rPr>
                <w:color w:val="000000" w:themeColor="text1"/>
                <w:lang w:val="en-GB"/>
              </w:rPr>
              <w:t>Richard Gordon</w:t>
            </w:r>
          </w:p>
        </w:tc>
      </w:tr>
      <w:tr w:rsidR="00636C70" w:rsidRPr="00D43501" w14:paraId="070266E8" w14:textId="77777777" w:rsidTr="00A41DEB">
        <w:trPr>
          <w:trHeight w:val="113"/>
        </w:trPr>
        <w:tc>
          <w:tcPr>
            <w:tcW w:w="1985" w:type="dxa"/>
          </w:tcPr>
          <w:p w14:paraId="6DC7E4EE" w14:textId="77777777" w:rsidR="00636C70" w:rsidRPr="00D43501" w:rsidRDefault="00636C70" w:rsidP="00A41DEB">
            <w:pPr>
              <w:pStyle w:val="TableParagraph"/>
              <w:spacing w:after="40"/>
              <w:rPr>
                <w:rFonts w:ascii="Times New Roman"/>
                <w:sz w:val="18"/>
                <w:lang w:val="en-GB"/>
              </w:rPr>
            </w:pPr>
          </w:p>
        </w:tc>
        <w:tc>
          <w:tcPr>
            <w:tcW w:w="3402" w:type="dxa"/>
          </w:tcPr>
          <w:p w14:paraId="28A675F9" w14:textId="26D4C9FB" w:rsidR="00636C70" w:rsidRPr="00DC7422" w:rsidRDefault="00E34607" w:rsidP="00A41DEB">
            <w:pPr>
              <w:pStyle w:val="TableParagraph"/>
              <w:spacing w:after="40" w:line="233" w:lineRule="exact"/>
              <w:rPr>
                <w:color w:val="000000" w:themeColor="text1"/>
                <w:lang w:val="en-GB"/>
              </w:rPr>
            </w:pPr>
            <w:r w:rsidRPr="00DC7422">
              <w:rPr>
                <w:color w:val="000000" w:themeColor="text1"/>
                <w:lang w:val="en-GB"/>
              </w:rPr>
              <w:t>Brian Lawrie</w:t>
            </w:r>
          </w:p>
        </w:tc>
        <w:tc>
          <w:tcPr>
            <w:tcW w:w="4536" w:type="dxa"/>
          </w:tcPr>
          <w:p w14:paraId="1508A082" w14:textId="7FF2152C" w:rsidR="00636C70" w:rsidRPr="00F24F31" w:rsidRDefault="00E34607" w:rsidP="00A41DEB">
            <w:pPr>
              <w:pStyle w:val="TableParagraph"/>
              <w:spacing w:after="40"/>
              <w:jc w:val="both"/>
              <w:rPr>
                <w:color w:val="000000" w:themeColor="text1"/>
                <w:lang w:val="en-GB"/>
              </w:rPr>
            </w:pPr>
            <w:r w:rsidRPr="00F24F31">
              <w:rPr>
                <w:color w:val="000000" w:themeColor="text1"/>
                <w:lang w:val="en-GB"/>
              </w:rPr>
              <w:t>Matthew Beattie</w:t>
            </w:r>
          </w:p>
        </w:tc>
      </w:tr>
      <w:tr w:rsidR="00636C70" w:rsidRPr="00D43501" w14:paraId="3450CED7" w14:textId="77777777" w:rsidTr="00A41DEB">
        <w:trPr>
          <w:trHeight w:val="113"/>
        </w:trPr>
        <w:tc>
          <w:tcPr>
            <w:tcW w:w="1985" w:type="dxa"/>
          </w:tcPr>
          <w:p w14:paraId="0232974B" w14:textId="77777777" w:rsidR="00636C70" w:rsidRPr="00D43501" w:rsidRDefault="00636C70" w:rsidP="00A41DEB">
            <w:pPr>
              <w:pStyle w:val="TableParagraph"/>
              <w:spacing w:after="40"/>
              <w:rPr>
                <w:rFonts w:ascii="Times New Roman"/>
                <w:sz w:val="18"/>
                <w:lang w:val="en-GB"/>
              </w:rPr>
            </w:pPr>
          </w:p>
        </w:tc>
        <w:tc>
          <w:tcPr>
            <w:tcW w:w="3402" w:type="dxa"/>
          </w:tcPr>
          <w:p w14:paraId="69E2D6E2" w14:textId="01B377F3" w:rsidR="00636C70" w:rsidRPr="00F24F31" w:rsidRDefault="00E34607" w:rsidP="00A41DEB">
            <w:pPr>
              <w:pStyle w:val="TableParagraph"/>
              <w:spacing w:after="40" w:line="233" w:lineRule="exact"/>
              <w:rPr>
                <w:color w:val="000000" w:themeColor="text1"/>
                <w:lang w:val="en-GB"/>
              </w:rPr>
            </w:pPr>
            <w:r w:rsidRPr="00F24F31">
              <w:rPr>
                <w:color w:val="000000" w:themeColor="text1"/>
                <w:lang w:val="en-GB"/>
              </w:rPr>
              <w:t xml:space="preserve">Carri Cusick </w:t>
            </w:r>
          </w:p>
        </w:tc>
        <w:tc>
          <w:tcPr>
            <w:tcW w:w="4536" w:type="dxa"/>
          </w:tcPr>
          <w:p w14:paraId="3E5A969D" w14:textId="06C807B2" w:rsidR="00636C70" w:rsidRPr="00A5052D" w:rsidRDefault="00636C70" w:rsidP="00A41DEB">
            <w:pPr>
              <w:pStyle w:val="TableParagraph"/>
              <w:spacing w:after="40"/>
              <w:jc w:val="both"/>
              <w:rPr>
                <w:color w:val="FF0000"/>
                <w:lang w:val="en-GB"/>
              </w:rPr>
            </w:pPr>
          </w:p>
        </w:tc>
      </w:tr>
    </w:tbl>
    <w:p w14:paraId="667411AE" w14:textId="77777777" w:rsidR="00636C70" w:rsidRDefault="00636C70" w:rsidP="00636C70">
      <w:pPr>
        <w:pStyle w:val="BodyText"/>
        <w:rPr>
          <w:b/>
          <w:sz w:val="24"/>
          <w:lang w:val="en-GB"/>
        </w:rPr>
      </w:pPr>
    </w:p>
    <w:tbl>
      <w:tblPr>
        <w:tblW w:w="9923" w:type="dxa"/>
        <w:tblLayout w:type="fixed"/>
        <w:tblCellMar>
          <w:left w:w="0" w:type="dxa"/>
          <w:right w:w="0" w:type="dxa"/>
        </w:tblCellMar>
        <w:tblLook w:val="01E0" w:firstRow="1" w:lastRow="1" w:firstColumn="1" w:lastColumn="1" w:noHBand="0" w:noVBand="0"/>
      </w:tblPr>
      <w:tblGrid>
        <w:gridCol w:w="1985"/>
        <w:gridCol w:w="7938"/>
      </w:tblGrid>
      <w:tr w:rsidR="00636C70" w:rsidRPr="00D43501" w14:paraId="2257739C" w14:textId="77777777" w:rsidTr="00A41DEB">
        <w:trPr>
          <w:trHeight w:val="185"/>
        </w:trPr>
        <w:tc>
          <w:tcPr>
            <w:tcW w:w="1985" w:type="dxa"/>
          </w:tcPr>
          <w:p w14:paraId="0DD7304F" w14:textId="77777777" w:rsidR="00636C70" w:rsidRPr="00D43501" w:rsidRDefault="00636C70" w:rsidP="00A41DEB">
            <w:pPr>
              <w:pStyle w:val="TableParagraph"/>
              <w:spacing w:after="60" w:line="233" w:lineRule="exact"/>
              <w:rPr>
                <w:b/>
                <w:lang w:val="en-GB"/>
              </w:rPr>
            </w:pPr>
            <w:r w:rsidRPr="00D43501">
              <w:rPr>
                <w:b/>
                <w:lang w:val="en-GB"/>
              </w:rPr>
              <w:t>IN ATTENDANCE:</w:t>
            </w:r>
          </w:p>
        </w:tc>
        <w:tc>
          <w:tcPr>
            <w:tcW w:w="7938" w:type="dxa"/>
          </w:tcPr>
          <w:p w14:paraId="1364EFFD" w14:textId="77777777" w:rsidR="00636C70" w:rsidRPr="00F24F31" w:rsidRDefault="00636C70" w:rsidP="00A41DEB">
            <w:pPr>
              <w:pStyle w:val="TableParagraph"/>
              <w:spacing w:after="60" w:line="233" w:lineRule="exact"/>
              <w:rPr>
                <w:color w:val="000000" w:themeColor="text1"/>
              </w:rPr>
            </w:pPr>
            <w:r w:rsidRPr="00F24F31">
              <w:rPr>
                <w:color w:val="000000" w:themeColor="text1"/>
                <w:lang w:val="en-GB"/>
              </w:rPr>
              <w:t>Steven Taylor (</w:t>
            </w:r>
            <w:r w:rsidRPr="00F24F31">
              <w:rPr>
                <w:color w:val="000000" w:themeColor="text1"/>
              </w:rPr>
              <w:t>Vice Principal Support Services and Operations)</w:t>
            </w:r>
          </w:p>
        </w:tc>
      </w:tr>
      <w:tr w:rsidR="00636C70" w:rsidRPr="00D43501" w14:paraId="251A3E41" w14:textId="77777777" w:rsidTr="00A41DEB">
        <w:trPr>
          <w:trHeight w:val="250"/>
        </w:trPr>
        <w:tc>
          <w:tcPr>
            <w:tcW w:w="1985" w:type="dxa"/>
          </w:tcPr>
          <w:p w14:paraId="0FFAF214" w14:textId="77777777" w:rsidR="00636C70" w:rsidRPr="00D43501" w:rsidRDefault="00636C70" w:rsidP="00A41DEB">
            <w:pPr>
              <w:pStyle w:val="TableParagraph"/>
              <w:spacing w:after="60"/>
              <w:rPr>
                <w:rFonts w:ascii="Times New Roman"/>
                <w:sz w:val="18"/>
                <w:lang w:val="en-GB"/>
              </w:rPr>
            </w:pPr>
          </w:p>
        </w:tc>
        <w:tc>
          <w:tcPr>
            <w:tcW w:w="7938" w:type="dxa"/>
          </w:tcPr>
          <w:p w14:paraId="2925AAE8" w14:textId="77777777" w:rsidR="00636C70" w:rsidRPr="00F24F31" w:rsidRDefault="00636C70" w:rsidP="00A41DEB">
            <w:pPr>
              <w:pStyle w:val="TableParagraph"/>
              <w:spacing w:after="60" w:line="233" w:lineRule="exact"/>
              <w:rPr>
                <w:color w:val="000000" w:themeColor="text1"/>
                <w:lang w:val="en-GB"/>
              </w:rPr>
            </w:pPr>
            <w:r w:rsidRPr="00F24F31">
              <w:rPr>
                <w:color w:val="000000" w:themeColor="text1"/>
                <w:lang w:val="en-GB"/>
              </w:rPr>
              <w:t>Julie Grace (Vice Principal Curriculum and Partnerships)</w:t>
            </w:r>
          </w:p>
        </w:tc>
      </w:tr>
      <w:tr w:rsidR="00636C70" w:rsidRPr="00D43501" w14:paraId="0598B8A2" w14:textId="77777777" w:rsidTr="00A41DEB">
        <w:trPr>
          <w:trHeight w:val="250"/>
        </w:trPr>
        <w:tc>
          <w:tcPr>
            <w:tcW w:w="1985" w:type="dxa"/>
          </w:tcPr>
          <w:p w14:paraId="7AD31163" w14:textId="77777777" w:rsidR="00636C70" w:rsidRPr="00D43501" w:rsidRDefault="00636C70" w:rsidP="00A41DEB">
            <w:pPr>
              <w:pStyle w:val="TableParagraph"/>
              <w:spacing w:after="60"/>
              <w:rPr>
                <w:rFonts w:ascii="Times New Roman"/>
                <w:sz w:val="18"/>
                <w:lang w:val="en-GB"/>
              </w:rPr>
            </w:pPr>
          </w:p>
        </w:tc>
        <w:tc>
          <w:tcPr>
            <w:tcW w:w="7938" w:type="dxa"/>
          </w:tcPr>
          <w:p w14:paraId="0E4EF1A3" w14:textId="77777777" w:rsidR="00636C70" w:rsidRPr="00F24F31" w:rsidRDefault="00636C70" w:rsidP="00A41DEB">
            <w:pPr>
              <w:pStyle w:val="TableParagraph"/>
              <w:spacing w:after="60" w:line="276" w:lineRule="auto"/>
              <w:rPr>
                <w:color w:val="000000" w:themeColor="text1"/>
                <w:lang w:val="en-GB"/>
              </w:rPr>
            </w:pPr>
            <w:r w:rsidRPr="00F24F31">
              <w:rPr>
                <w:color w:val="000000" w:themeColor="text1"/>
                <w:lang w:val="en-GB"/>
              </w:rPr>
              <w:t>Penny Muir (Board Administrator)</w:t>
            </w:r>
          </w:p>
        </w:tc>
      </w:tr>
      <w:tr w:rsidR="00636C70" w:rsidRPr="00CB76B6" w14:paraId="1043A5AA" w14:textId="77777777" w:rsidTr="00A41DEB">
        <w:trPr>
          <w:trHeight w:val="250"/>
        </w:trPr>
        <w:tc>
          <w:tcPr>
            <w:tcW w:w="1985" w:type="dxa"/>
          </w:tcPr>
          <w:p w14:paraId="4EEFDE17" w14:textId="77777777" w:rsidR="00636C70" w:rsidRPr="00CB76B6" w:rsidRDefault="00636C70" w:rsidP="00A41DEB">
            <w:pPr>
              <w:pStyle w:val="TableParagraph"/>
              <w:spacing w:after="60"/>
              <w:rPr>
                <w:rFonts w:ascii="Times New Roman"/>
                <w:color w:val="000000" w:themeColor="text1"/>
                <w:sz w:val="18"/>
                <w:lang w:val="en-GB"/>
              </w:rPr>
            </w:pPr>
          </w:p>
        </w:tc>
        <w:tc>
          <w:tcPr>
            <w:tcW w:w="7938" w:type="dxa"/>
          </w:tcPr>
          <w:p w14:paraId="6327FDE2" w14:textId="77777777" w:rsidR="00636C70" w:rsidRPr="00CB76B6" w:rsidRDefault="00636C70" w:rsidP="00A41DEB">
            <w:pPr>
              <w:pStyle w:val="TableParagraph"/>
              <w:spacing w:after="60" w:line="233" w:lineRule="exact"/>
              <w:rPr>
                <w:color w:val="000000" w:themeColor="text1"/>
                <w:lang w:val="en-GB"/>
              </w:rPr>
            </w:pPr>
            <w:r w:rsidRPr="00CB76B6">
              <w:rPr>
                <w:color w:val="000000" w:themeColor="text1"/>
                <w:lang w:val="en-GB"/>
              </w:rPr>
              <w:t>Abi Mawhirt (Head of People and Organisation Development)</w:t>
            </w:r>
          </w:p>
        </w:tc>
      </w:tr>
    </w:tbl>
    <w:p w14:paraId="244863C1" w14:textId="3E7143C9" w:rsidR="00636C70" w:rsidRPr="00CB76B6" w:rsidRDefault="00636C70" w:rsidP="00636C70">
      <w:pPr>
        <w:rPr>
          <w:b/>
          <w:color w:val="000000" w:themeColor="text1"/>
        </w:rPr>
      </w:pPr>
    </w:p>
    <w:p w14:paraId="0827977E" w14:textId="77777777" w:rsidR="00636C70" w:rsidRDefault="00636C70" w:rsidP="00636C70">
      <w:pPr>
        <w:spacing w:before="7"/>
        <w:rPr>
          <w:b/>
        </w:rPr>
      </w:pPr>
    </w:p>
    <w:tbl>
      <w:tblPr>
        <w:tblW w:w="9923" w:type="dxa"/>
        <w:tblLayout w:type="fixed"/>
        <w:tblCellMar>
          <w:left w:w="0" w:type="dxa"/>
          <w:right w:w="0" w:type="dxa"/>
        </w:tblCellMar>
        <w:tblLook w:val="01E0" w:firstRow="1" w:lastRow="1" w:firstColumn="1" w:lastColumn="1" w:noHBand="0" w:noVBand="0"/>
      </w:tblPr>
      <w:tblGrid>
        <w:gridCol w:w="567"/>
        <w:gridCol w:w="9356"/>
      </w:tblGrid>
      <w:tr w:rsidR="0085405E" w:rsidRPr="003438D1" w14:paraId="690A28F0" w14:textId="77777777" w:rsidTr="0085405E">
        <w:trPr>
          <w:trHeight w:val="376"/>
        </w:trPr>
        <w:tc>
          <w:tcPr>
            <w:tcW w:w="567" w:type="dxa"/>
          </w:tcPr>
          <w:p w14:paraId="71EB6EF9" w14:textId="77777777" w:rsidR="0085405E" w:rsidRPr="003438D1" w:rsidRDefault="0085405E" w:rsidP="00636C70">
            <w:pPr>
              <w:pStyle w:val="TableParagraph"/>
              <w:numPr>
                <w:ilvl w:val="0"/>
                <w:numId w:val="1"/>
              </w:numPr>
              <w:ind w:left="0" w:firstLine="0"/>
              <w:jc w:val="center"/>
              <w:rPr>
                <w:b/>
                <w:lang w:val="en-GB"/>
              </w:rPr>
            </w:pPr>
          </w:p>
        </w:tc>
        <w:tc>
          <w:tcPr>
            <w:tcW w:w="9356" w:type="dxa"/>
          </w:tcPr>
          <w:p w14:paraId="700D3B1E" w14:textId="77777777" w:rsidR="0085405E" w:rsidRPr="003438D1" w:rsidRDefault="0085405E" w:rsidP="00A41DEB">
            <w:pPr>
              <w:pStyle w:val="TableParagraph"/>
              <w:rPr>
                <w:b/>
                <w:lang w:val="en-GB"/>
              </w:rPr>
            </w:pPr>
            <w:r w:rsidRPr="003438D1">
              <w:rPr>
                <w:b/>
                <w:lang w:val="en-GB"/>
              </w:rPr>
              <w:t>WELCOME</w:t>
            </w:r>
          </w:p>
          <w:p w14:paraId="6D4027D0" w14:textId="77777777" w:rsidR="0085405E" w:rsidRPr="003438D1" w:rsidRDefault="0085405E" w:rsidP="00A41DEB">
            <w:pPr>
              <w:pStyle w:val="TableParagraph"/>
              <w:rPr>
                <w:b/>
                <w:lang w:val="en-GB"/>
              </w:rPr>
            </w:pPr>
          </w:p>
          <w:p w14:paraId="4F220E88" w14:textId="27127249" w:rsidR="0085405E" w:rsidRPr="003438D1" w:rsidRDefault="0085405E" w:rsidP="00636C70">
            <w:pPr>
              <w:pStyle w:val="TableParagraph"/>
              <w:rPr>
                <w:bCs/>
                <w:lang w:val="en-GB"/>
              </w:rPr>
            </w:pPr>
            <w:r w:rsidRPr="003438D1">
              <w:rPr>
                <w:bCs/>
                <w:lang w:val="en-GB"/>
              </w:rPr>
              <w:t>D Mackenzie welcomed everyone to the Human Resources &amp; Development Committee meeting.</w:t>
            </w:r>
          </w:p>
          <w:p w14:paraId="46A1E70F" w14:textId="77777777" w:rsidR="0085405E" w:rsidRPr="003438D1" w:rsidRDefault="0085405E" w:rsidP="00A41DEB">
            <w:pPr>
              <w:pStyle w:val="TableParagraph"/>
              <w:rPr>
                <w:b/>
                <w:lang w:val="en-GB"/>
              </w:rPr>
            </w:pPr>
          </w:p>
        </w:tc>
      </w:tr>
      <w:tr w:rsidR="0085405E" w:rsidRPr="003438D1" w14:paraId="3960ADBA" w14:textId="77777777" w:rsidTr="0085405E">
        <w:trPr>
          <w:trHeight w:val="506"/>
        </w:trPr>
        <w:tc>
          <w:tcPr>
            <w:tcW w:w="567" w:type="dxa"/>
          </w:tcPr>
          <w:p w14:paraId="45D16371" w14:textId="77777777" w:rsidR="0085405E" w:rsidRPr="003438D1" w:rsidRDefault="0085405E" w:rsidP="00636C70">
            <w:pPr>
              <w:pStyle w:val="TableParagraph"/>
              <w:numPr>
                <w:ilvl w:val="0"/>
                <w:numId w:val="1"/>
              </w:numPr>
              <w:ind w:left="0" w:firstLine="0"/>
              <w:jc w:val="center"/>
              <w:rPr>
                <w:b/>
                <w:lang w:val="en-GB"/>
              </w:rPr>
            </w:pPr>
          </w:p>
        </w:tc>
        <w:tc>
          <w:tcPr>
            <w:tcW w:w="9356" w:type="dxa"/>
          </w:tcPr>
          <w:p w14:paraId="650E05BA" w14:textId="76F60D8D" w:rsidR="0085405E" w:rsidRPr="003438D1" w:rsidRDefault="0085405E" w:rsidP="00A41DEB">
            <w:pPr>
              <w:pStyle w:val="TableParagraph"/>
              <w:rPr>
                <w:b/>
                <w:lang w:val="en-GB"/>
              </w:rPr>
            </w:pPr>
            <w:r w:rsidRPr="003438D1">
              <w:rPr>
                <w:b/>
                <w:lang w:val="en-GB"/>
              </w:rPr>
              <w:t>APOLOGIES</w:t>
            </w:r>
          </w:p>
          <w:p w14:paraId="46F37336" w14:textId="77777777" w:rsidR="0085405E" w:rsidRPr="003438D1" w:rsidRDefault="0085405E" w:rsidP="00A41DEB">
            <w:pPr>
              <w:pStyle w:val="TableParagraph"/>
              <w:rPr>
                <w:b/>
                <w:lang w:val="en-GB"/>
              </w:rPr>
            </w:pPr>
          </w:p>
          <w:p w14:paraId="77D55C09" w14:textId="7712AED9" w:rsidR="0085405E" w:rsidRPr="003438D1" w:rsidRDefault="0085405E" w:rsidP="00A41DEB">
            <w:pPr>
              <w:pStyle w:val="TableParagraph"/>
              <w:rPr>
                <w:b/>
                <w:lang w:val="en-GB"/>
              </w:rPr>
            </w:pPr>
            <w:r w:rsidRPr="003438D1">
              <w:rPr>
                <w:bCs/>
                <w:lang w:val="en-GB"/>
              </w:rPr>
              <w:t>Apologies received from Simon Hewitt, Billy Grace, Jackie Buchanan, Robert Young, Steven Oakley and Neil Lowde</w:t>
            </w:r>
            <w:r w:rsidR="007F029B">
              <w:rPr>
                <w:bCs/>
                <w:lang w:val="en-GB"/>
              </w:rPr>
              <w:t>n</w:t>
            </w:r>
            <w:r w:rsidRPr="003438D1">
              <w:rPr>
                <w:bCs/>
                <w:lang w:val="en-GB"/>
              </w:rPr>
              <w:t>.</w:t>
            </w:r>
          </w:p>
          <w:p w14:paraId="0CE0CCB5" w14:textId="77777777" w:rsidR="0085405E" w:rsidRPr="003438D1" w:rsidRDefault="0085405E" w:rsidP="00A41DEB">
            <w:pPr>
              <w:pStyle w:val="TableParagraph"/>
              <w:rPr>
                <w:b/>
                <w:lang w:val="en-GB"/>
              </w:rPr>
            </w:pPr>
          </w:p>
        </w:tc>
      </w:tr>
      <w:tr w:rsidR="0085405E" w:rsidRPr="003438D1" w14:paraId="419D523E" w14:textId="77777777" w:rsidTr="0085405E">
        <w:trPr>
          <w:trHeight w:val="506"/>
        </w:trPr>
        <w:tc>
          <w:tcPr>
            <w:tcW w:w="567" w:type="dxa"/>
          </w:tcPr>
          <w:p w14:paraId="4CF58FF0" w14:textId="77777777" w:rsidR="0085405E" w:rsidRPr="003438D1" w:rsidRDefault="0085405E" w:rsidP="00636C70">
            <w:pPr>
              <w:pStyle w:val="TableParagraph"/>
              <w:numPr>
                <w:ilvl w:val="0"/>
                <w:numId w:val="1"/>
              </w:numPr>
              <w:ind w:left="0" w:firstLine="0"/>
              <w:jc w:val="center"/>
              <w:rPr>
                <w:b/>
                <w:lang w:val="en-GB"/>
              </w:rPr>
            </w:pPr>
          </w:p>
        </w:tc>
        <w:tc>
          <w:tcPr>
            <w:tcW w:w="9356" w:type="dxa"/>
          </w:tcPr>
          <w:p w14:paraId="1DBE8B18" w14:textId="77777777" w:rsidR="0085405E" w:rsidRPr="003438D1" w:rsidRDefault="0085405E" w:rsidP="00A41DEB">
            <w:pPr>
              <w:pStyle w:val="TableParagraph"/>
              <w:rPr>
                <w:b/>
                <w:lang w:val="en-GB"/>
              </w:rPr>
            </w:pPr>
            <w:r w:rsidRPr="003438D1">
              <w:rPr>
                <w:b/>
                <w:lang w:val="en-GB"/>
              </w:rPr>
              <w:t>DECLARATIONS OF CONNECTION &amp; INTEREST</w:t>
            </w:r>
          </w:p>
          <w:p w14:paraId="175410E8" w14:textId="77777777" w:rsidR="0085405E" w:rsidRPr="003438D1" w:rsidRDefault="0085405E" w:rsidP="00A41DEB">
            <w:pPr>
              <w:pStyle w:val="TableParagraph"/>
              <w:rPr>
                <w:b/>
                <w:lang w:val="en-GB"/>
              </w:rPr>
            </w:pPr>
          </w:p>
          <w:p w14:paraId="7B52747B" w14:textId="2D65BBA8" w:rsidR="0085405E" w:rsidRPr="003438D1" w:rsidRDefault="0085405E" w:rsidP="00A41DEB">
            <w:pPr>
              <w:pStyle w:val="TableParagraph"/>
              <w:rPr>
                <w:b/>
                <w:lang w:val="en-GB"/>
              </w:rPr>
            </w:pPr>
            <w:r w:rsidRPr="003438D1">
              <w:rPr>
                <w:bCs/>
                <w:lang w:val="en-GB"/>
              </w:rPr>
              <w:t>There were no declarations of connection &amp; interests.</w:t>
            </w:r>
          </w:p>
          <w:p w14:paraId="039FBC17" w14:textId="77777777" w:rsidR="0085405E" w:rsidRPr="003438D1" w:rsidRDefault="0085405E" w:rsidP="00A41DEB">
            <w:pPr>
              <w:pStyle w:val="TableParagraph"/>
              <w:rPr>
                <w:b/>
                <w:lang w:val="en-GB"/>
              </w:rPr>
            </w:pPr>
          </w:p>
        </w:tc>
      </w:tr>
      <w:tr w:rsidR="0085405E" w:rsidRPr="003438D1" w14:paraId="770F89B3" w14:textId="77777777" w:rsidTr="0085405E">
        <w:trPr>
          <w:trHeight w:val="499"/>
        </w:trPr>
        <w:tc>
          <w:tcPr>
            <w:tcW w:w="567" w:type="dxa"/>
          </w:tcPr>
          <w:p w14:paraId="4B68FC4C" w14:textId="77777777" w:rsidR="0085405E" w:rsidRPr="003438D1" w:rsidRDefault="0085405E" w:rsidP="00636C70">
            <w:pPr>
              <w:pStyle w:val="TableParagraph"/>
              <w:numPr>
                <w:ilvl w:val="0"/>
                <w:numId w:val="1"/>
              </w:numPr>
              <w:ind w:left="0" w:firstLine="0"/>
              <w:jc w:val="center"/>
              <w:rPr>
                <w:b/>
                <w:lang w:val="en-GB"/>
              </w:rPr>
            </w:pPr>
          </w:p>
        </w:tc>
        <w:tc>
          <w:tcPr>
            <w:tcW w:w="9356" w:type="dxa"/>
          </w:tcPr>
          <w:p w14:paraId="15A3DF68" w14:textId="5E35BFC2" w:rsidR="0085405E" w:rsidRPr="003438D1" w:rsidRDefault="0085405E" w:rsidP="00A41DEB">
            <w:pPr>
              <w:pStyle w:val="TableParagraph"/>
              <w:rPr>
                <w:lang w:val="en-GB"/>
              </w:rPr>
            </w:pPr>
            <w:r w:rsidRPr="003438D1">
              <w:rPr>
                <w:b/>
                <w:lang w:val="en-GB"/>
              </w:rPr>
              <w:t>MINUTE OF THE PREVIOUS MEETING</w:t>
            </w:r>
            <w:r w:rsidRPr="003438D1">
              <w:rPr>
                <w:lang w:val="en-GB"/>
              </w:rPr>
              <w:t xml:space="preserve"> </w:t>
            </w:r>
          </w:p>
          <w:p w14:paraId="5DB6B293" w14:textId="77777777" w:rsidR="0085405E" w:rsidRPr="003438D1" w:rsidRDefault="0085405E" w:rsidP="00A41DEB">
            <w:pPr>
              <w:pStyle w:val="TableParagraph"/>
              <w:rPr>
                <w:lang w:val="en-GB"/>
              </w:rPr>
            </w:pPr>
          </w:p>
          <w:p w14:paraId="605A1C19" w14:textId="49AC73B8" w:rsidR="0085405E" w:rsidRPr="003438D1" w:rsidRDefault="0085405E" w:rsidP="00A41DEB">
            <w:pPr>
              <w:pStyle w:val="TableParagraph"/>
              <w:rPr>
                <w:lang w:val="en-GB"/>
              </w:rPr>
            </w:pPr>
            <w:r w:rsidRPr="003438D1">
              <w:rPr>
                <w:lang w:val="en-GB"/>
              </w:rPr>
              <w:t>The minutes of the meeting held on 20 February 2025 were approved as an accurate record.</w:t>
            </w:r>
          </w:p>
          <w:p w14:paraId="4ABE4C8E" w14:textId="77777777" w:rsidR="0085405E" w:rsidRPr="003438D1" w:rsidRDefault="0085405E" w:rsidP="00A41DEB">
            <w:pPr>
              <w:pStyle w:val="TableParagraph"/>
              <w:rPr>
                <w:lang w:val="en-GB"/>
              </w:rPr>
            </w:pPr>
          </w:p>
        </w:tc>
      </w:tr>
      <w:tr w:rsidR="0085405E" w:rsidRPr="003438D1" w14:paraId="6283E026" w14:textId="77777777" w:rsidTr="0085405E">
        <w:trPr>
          <w:trHeight w:val="505"/>
        </w:trPr>
        <w:tc>
          <w:tcPr>
            <w:tcW w:w="567" w:type="dxa"/>
          </w:tcPr>
          <w:p w14:paraId="2A228799" w14:textId="77777777" w:rsidR="0085405E" w:rsidRPr="003438D1" w:rsidRDefault="0085405E" w:rsidP="00636C70">
            <w:pPr>
              <w:pStyle w:val="TableParagraph"/>
              <w:numPr>
                <w:ilvl w:val="0"/>
                <w:numId w:val="1"/>
              </w:numPr>
              <w:ind w:left="0" w:firstLine="0"/>
              <w:jc w:val="center"/>
              <w:rPr>
                <w:b/>
                <w:lang w:val="en-GB"/>
              </w:rPr>
            </w:pPr>
          </w:p>
        </w:tc>
        <w:tc>
          <w:tcPr>
            <w:tcW w:w="9356" w:type="dxa"/>
          </w:tcPr>
          <w:p w14:paraId="7CB12FAC" w14:textId="77777777" w:rsidR="0085405E" w:rsidRPr="003438D1" w:rsidRDefault="0085405E" w:rsidP="00A41DEB">
            <w:pPr>
              <w:pStyle w:val="TableParagraph"/>
              <w:rPr>
                <w:b/>
                <w:lang w:val="en-GB"/>
              </w:rPr>
            </w:pPr>
            <w:r w:rsidRPr="003438D1">
              <w:rPr>
                <w:b/>
                <w:lang w:val="en-GB"/>
              </w:rPr>
              <w:t>MATTERS ARISING</w:t>
            </w:r>
          </w:p>
          <w:p w14:paraId="01948523" w14:textId="77777777" w:rsidR="0085405E" w:rsidRPr="003438D1" w:rsidRDefault="0085405E" w:rsidP="00A41DEB">
            <w:pPr>
              <w:pStyle w:val="TableParagraph"/>
              <w:rPr>
                <w:b/>
                <w:lang w:val="en-GB"/>
              </w:rPr>
            </w:pPr>
          </w:p>
          <w:p w14:paraId="316C8367" w14:textId="77E03BD9" w:rsidR="0085405E" w:rsidRPr="003438D1" w:rsidRDefault="0085405E" w:rsidP="00A41DEB">
            <w:pPr>
              <w:pStyle w:val="TableParagraph"/>
              <w:rPr>
                <w:b/>
                <w:lang w:val="en-GB"/>
              </w:rPr>
            </w:pPr>
            <w:r w:rsidRPr="003438D1">
              <w:rPr>
                <w:lang w:val="en-GB"/>
              </w:rPr>
              <w:t>There are no matters arising</w:t>
            </w:r>
            <w:r w:rsidR="00993EEF" w:rsidRPr="003438D1">
              <w:rPr>
                <w:lang w:val="en-GB"/>
              </w:rPr>
              <w:t>.</w:t>
            </w:r>
          </w:p>
          <w:p w14:paraId="09B8BDE5" w14:textId="77777777" w:rsidR="0085405E" w:rsidRPr="003438D1" w:rsidRDefault="0085405E" w:rsidP="00A41DEB">
            <w:pPr>
              <w:pStyle w:val="TableParagraph"/>
              <w:rPr>
                <w:b/>
                <w:lang w:val="en-GB"/>
              </w:rPr>
            </w:pPr>
          </w:p>
        </w:tc>
      </w:tr>
      <w:tr w:rsidR="0085405E" w:rsidRPr="003438D1" w14:paraId="0EBEC844" w14:textId="77777777" w:rsidTr="0085405E">
        <w:trPr>
          <w:trHeight w:val="507"/>
        </w:trPr>
        <w:tc>
          <w:tcPr>
            <w:tcW w:w="567" w:type="dxa"/>
          </w:tcPr>
          <w:p w14:paraId="783B09E9" w14:textId="77777777" w:rsidR="0085405E" w:rsidRPr="003438D1" w:rsidRDefault="0085405E" w:rsidP="00636C70">
            <w:pPr>
              <w:pStyle w:val="TableParagraph"/>
              <w:numPr>
                <w:ilvl w:val="0"/>
                <w:numId w:val="1"/>
              </w:numPr>
              <w:ind w:left="0" w:firstLine="0"/>
              <w:jc w:val="center"/>
              <w:rPr>
                <w:b/>
                <w:lang w:val="en-GB"/>
              </w:rPr>
            </w:pPr>
          </w:p>
        </w:tc>
        <w:tc>
          <w:tcPr>
            <w:tcW w:w="9356" w:type="dxa"/>
          </w:tcPr>
          <w:p w14:paraId="7EF440A3" w14:textId="77777777" w:rsidR="0085405E" w:rsidRPr="003438D1" w:rsidRDefault="0085405E" w:rsidP="00A41DEB">
            <w:pPr>
              <w:pStyle w:val="TableParagraph"/>
              <w:rPr>
                <w:b/>
                <w:lang w:val="en-GB"/>
              </w:rPr>
            </w:pPr>
            <w:r w:rsidRPr="003438D1">
              <w:rPr>
                <w:b/>
                <w:lang w:val="en-GB"/>
              </w:rPr>
              <w:t xml:space="preserve">PEOPLE, OD &amp; COMMUNICATIONS REPORT </w:t>
            </w:r>
          </w:p>
          <w:p w14:paraId="44BC0CB5" w14:textId="77777777" w:rsidR="0085405E" w:rsidRPr="003438D1" w:rsidRDefault="0085405E" w:rsidP="00A41DEB">
            <w:pPr>
              <w:pStyle w:val="TableParagraph"/>
              <w:rPr>
                <w:b/>
                <w:lang w:val="en-GB"/>
              </w:rPr>
            </w:pPr>
          </w:p>
          <w:p w14:paraId="32A53CB3" w14:textId="77777777" w:rsidR="0033370F" w:rsidRPr="003438D1" w:rsidRDefault="0085405E" w:rsidP="00A02732">
            <w:pPr>
              <w:pStyle w:val="TableParagraph"/>
              <w:rPr>
                <w:bCs/>
                <w:lang w:val="en-GB"/>
              </w:rPr>
            </w:pPr>
            <w:r w:rsidRPr="003438D1">
              <w:rPr>
                <w:bCs/>
                <w:lang w:val="en-GB"/>
              </w:rPr>
              <w:t xml:space="preserve">S Taylor presented the report, highlighting significant updates including the </w:t>
            </w:r>
            <w:r w:rsidR="008652C6" w:rsidRPr="003438D1">
              <w:rPr>
                <w:bCs/>
                <w:lang w:val="en-GB"/>
              </w:rPr>
              <w:t xml:space="preserve">most recent equalities mainstreaming </w:t>
            </w:r>
            <w:r w:rsidRPr="003438D1">
              <w:rPr>
                <w:bCs/>
                <w:lang w:val="en-GB"/>
              </w:rPr>
              <w:t xml:space="preserve">which reflects a substantial amount of underpinning </w:t>
            </w:r>
            <w:r w:rsidR="0033370F" w:rsidRPr="003438D1">
              <w:rPr>
                <w:bCs/>
                <w:lang w:val="en-GB"/>
              </w:rPr>
              <w:t xml:space="preserve">equalities </w:t>
            </w:r>
            <w:r w:rsidRPr="003438D1">
              <w:rPr>
                <w:bCs/>
                <w:lang w:val="en-GB"/>
              </w:rPr>
              <w:t xml:space="preserve">work. </w:t>
            </w:r>
          </w:p>
          <w:p w14:paraId="5D61D9C6" w14:textId="77777777" w:rsidR="0033370F" w:rsidRPr="003438D1" w:rsidRDefault="0033370F" w:rsidP="00A02732">
            <w:pPr>
              <w:pStyle w:val="TableParagraph"/>
              <w:rPr>
                <w:bCs/>
                <w:lang w:val="en-GB"/>
              </w:rPr>
            </w:pPr>
          </w:p>
          <w:p w14:paraId="3800215C" w14:textId="77777777" w:rsidR="00B91DE8" w:rsidRPr="003438D1" w:rsidRDefault="0033370F" w:rsidP="00A02732">
            <w:pPr>
              <w:pStyle w:val="TableParagraph"/>
              <w:rPr>
                <w:bCs/>
                <w:lang w:val="en-GB"/>
              </w:rPr>
            </w:pPr>
            <w:r w:rsidRPr="003438D1">
              <w:rPr>
                <w:bCs/>
                <w:lang w:val="en-GB"/>
              </w:rPr>
              <w:t>The</w:t>
            </w:r>
            <w:r w:rsidR="004C78BC" w:rsidRPr="003438D1">
              <w:rPr>
                <w:bCs/>
                <w:lang w:val="en-GB"/>
              </w:rPr>
              <w:t xml:space="preserve"> </w:t>
            </w:r>
            <w:r w:rsidRPr="003438D1">
              <w:rPr>
                <w:bCs/>
                <w:lang w:val="en-GB"/>
              </w:rPr>
              <w:t>recent</w:t>
            </w:r>
            <w:r w:rsidR="0085405E" w:rsidRPr="003438D1">
              <w:rPr>
                <w:bCs/>
                <w:lang w:val="en-GB"/>
              </w:rPr>
              <w:t xml:space="preserve"> Supreme Court judgement was noted for its potential impact on </w:t>
            </w:r>
            <w:r w:rsidR="004C78BC" w:rsidRPr="003438D1">
              <w:rPr>
                <w:bCs/>
                <w:lang w:val="en-GB"/>
              </w:rPr>
              <w:t>students and staff</w:t>
            </w:r>
            <w:r w:rsidR="0085405E" w:rsidRPr="003438D1">
              <w:rPr>
                <w:bCs/>
                <w:lang w:val="en-GB"/>
              </w:rPr>
              <w:t xml:space="preserve">. Work is ongoing in </w:t>
            </w:r>
            <w:r w:rsidR="004C78BC" w:rsidRPr="003438D1">
              <w:rPr>
                <w:bCs/>
                <w:lang w:val="en-GB"/>
              </w:rPr>
              <w:t>terms of the practical outcomes from this judgement and also in terms of support for students and staff feeling vulnerable due to the changes</w:t>
            </w:r>
            <w:r w:rsidR="00421C54" w:rsidRPr="003438D1">
              <w:rPr>
                <w:bCs/>
                <w:lang w:val="en-GB"/>
              </w:rPr>
              <w:t xml:space="preserve">. </w:t>
            </w:r>
          </w:p>
          <w:p w14:paraId="4CB5272D" w14:textId="0E965323" w:rsidR="00421C54" w:rsidRPr="003438D1" w:rsidRDefault="00421C54" w:rsidP="00A02732">
            <w:pPr>
              <w:pStyle w:val="TableParagraph"/>
              <w:rPr>
                <w:bCs/>
                <w:lang w:val="en-GB"/>
              </w:rPr>
            </w:pPr>
            <w:r w:rsidRPr="003438D1">
              <w:rPr>
                <w:bCs/>
                <w:lang w:val="en-GB"/>
              </w:rPr>
              <w:lastRenderedPageBreak/>
              <w:t>Commu</w:t>
            </w:r>
            <w:r w:rsidR="0085405E" w:rsidRPr="003438D1">
              <w:rPr>
                <w:bCs/>
                <w:lang w:val="en-GB"/>
              </w:rPr>
              <w:t>nication</w:t>
            </w:r>
            <w:r w:rsidRPr="003438D1">
              <w:rPr>
                <w:bCs/>
                <w:lang w:val="en-GB"/>
              </w:rPr>
              <w:t xml:space="preserve"> to staff has</w:t>
            </w:r>
            <w:r w:rsidR="0085405E" w:rsidRPr="003438D1">
              <w:rPr>
                <w:bCs/>
                <w:lang w:val="en-GB"/>
              </w:rPr>
              <w:t xml:space="preserve"> acknowledged the impact of the ruling, especially on transgender students and staff, while reaffirming the College’s commitment to creating a safe and supportive environment. </w:t>
            </w:r>
          </w:p>
          <w:p w14:paraId="6BF98C66" w14:textId="77777777" w:rsidR="00421C54" w:rsidRPr="003438D1" w:rsidRDefault="00421C54" w:rsidP="00A02732">
            <w:pPr>
              <w:pStyle w:val="TableParagraph"/>
              <w:rPr>
                <w:bCs/>
                <w:lang w:val="en-GB"/>
              </w:rPr>
            </w:pPr>
          </w:p>
          <w:p w14:paraId="32525D0E" w14:textId="5CACCB21" w:rsidR="0085405E" w:rsidRPr="003438D1" w:rsidRDefault="0085405E" w:rsidP="00A02732">
            <w:pPr>
              <w:pStyle w:val="TableParagraph"/>
              <w:rPr>
                <w:bCs/>
                <w:lang w:val="en-GB"/>
              </w:rPr>
            </w:pPr>
            <w:r w:rsidRPr="003438D1">
              <w:rPr>
                <w:bCs/>
                <w:lang w:val="en-GB"/>
              </w:rPr>
              <w:t>B Lawrie suggested that the judgement may lead to clearer guidance in the future, which could be beneficial for the College.</w:t>
            </w:r>
          </w:p>
          <w:p w14:paraId="739C5BE2" w14:textId="77777777" w:rsidR="0085405E" w:rsidRPr="003438D1" w:rsidRDefault="0085405E" w:rsidP="00A02732">
            <w:pPr>
              <w:pStyle w:val="TableParagraph"/>
              <w:rPr>
                <w:bCs/>
                <w:lang w:val="en-GB"/>
              </w:rPr>
            </w:pPr>
          </w:p>
          <w:p w14:paraId="1CC8B9D4" w14:textId="00C4A737" w:rsidR="0085405E" w:rsidRPr="003438D1" w:rsidRDefault="0085405E" w:rsidP="00A02732">
            <w:pPr>
              <w:pStyle w:val="TableParagraph"/>
              <w:rPr>
                <w:bCs/>
                <w:lang w:val="en-GB"/>
              </w:rPr>
            </w:pPr>
            <w:r w:rsidRPr="003438D1">
              <w:rPr>
                <w:bCs/>
                <w:lang w:val="en-GB"/>
              </w:rPr>
              <w:t xml:space="preserve">S Taylor also provided an update on a recent Rapid Improvement Event (RIE) which focused on behind-the-scenes processes, particularly around </w:t>
            </w:r>
            <w:r w:rsidR="007605EF" w:rsidRPr="003438D1">
              <w:rPr>
                <w:bCs/>
                <w:lang w:val="en-GB"/>
              </w:rPr>
              <w:t xml:space="preserve">temporary </w:t>
            </w:r>
            <w:r w:rsidRPr="003438D1">
              <w:rPr>
                <w:bCs/>
                <w:lang w:val="en-GB"/>
              </w:rPr>
              <w:t xml:space="preserve">staff contracts. The event highlighted the value of Rapid Improvement Events (RIEs) as an effective methodology and the </w:t>
            </w:r>
            <w:r w:rsidR="007605EF" w:rsidRPr="003438D1">
              <w:rPr>
                <w:bCs/>
                <w:lang w:val="en-GB"/>
              </w:rPr>
              <w:t xml:space="preserve">desire to use these further in the </w:t>
            </w:r>
            <w:r w:rsidRPr="003438D1">
              <w:rPr>
                <w:bCs/>
                <w:lang w:val="en-GB"/>
              </w:rPr>
              <w:t>future. In response to a question from D Mackenzie about facilitation, it was confirmed that a</w:t>
            </w:r>
            <w:r w:rsidR="007605EF" w:rsidRPr="003438D1">
              <w:rPr>
                <w:bCs/>
                <w:lang w:val="en-GB"/>
              </w:rPr>
              <w:t>n external</w:t>
            </w:r>
            <w:r w:rsidRPr="003438D1">
              <w:rPr>
                <w:bCs/>
                <w:lang w:val="en-GB"/>
              </w:rPr>
              <w:t xml:space="preserve"> facilitator </w:t>
            </w:r>
            <w:r w:rsidR="007605EF" w:rsidRPr="003438D1">
              <w:rPr>
                <w:bCs/>
                <w:lang w:val="en-GB"/>
              </w:rPr>
              <w:t xml:space="preserve">was used, but </w:t>
            </w:r>
            <w:r w:rsidR="009550E4" w:rsidRPr="003438D1">
              <w:rPr>
                <w:bCs/>
                <w:lang w:val="en-GB"/>
              </w:rPr>
              <w:t>that skills and experience were being developed inhouse to support similar exercises.</w:t>
            </w:r>
            <w:r w:rsidRPr="003438D1">
              <w:rPr>
                <w:bCs/>
                <w:lang w:val="en-GB"/>
              </w:rPr>
              <w:t xml:space="preserve"> Feedback has been positive, with the process described as intense but ultimately highly beneficial.</w:t>
            </w:r>
          </w:p>
          <w:p w14:paraId="40B1D15E" w14:textId="77777777" w:rsidR="0085405E" w:rsidRPr="003438D1" w:rsidRDefault="0085405E" w:rsidP="00A02732">
            <w:pPr>
              <w:pStyle w:val="TableParagraph"/>
              <w:rPr>
                <w:b/>
                <w:lang w:val="en-GB"/>
              </w:rPr>
            </w:pPr>
          </w:p>
          <w:p w14:paraId="5B8DC864" w14:textId="0C09F0FD" w:rsidR="0085405E" w:rsidRPr="003438D1" w:rsidRDefault="0085405E" w:rsidP="00A02732">
            <w:pPr>
              <w:pStyle w:val="TableParagraph"/>
              <w:rPr>
                <w:bCs/>
                <w:lang w:val="en-GB"/>
              </w:rPr>
            </w:pPr>
            <w:r w:rsidRPr="003438D1">
              <w:rPr>
                <w:bCs/>
                <w:lang w:val="en-GB"/>
              </w:rPr>
              <w:t xml:space="preserve">R Gordon acknowledged that while change can be challenging, it can also lead to clarity and positive outcomes. C Cusick enquired about the role of the Service Design Academy in such processes. S Taylor clarified that different tools are applied depending on the purpose, noting that the recent Rapid Improvement Event (RIE) specifically focused on </w:t>
            </w:r>
            <w:r w:rsidR="00B344AE" w:rsidRPr="003438D1">
              <w:rPr>
                <w:bCs/>
                <w:lang w:val="en-GB"/>
              </w:rPr>
              <w:t>the underpinning administrative process</w:t>
            </w:r>
            <w:r w:rsidRPr="003438D1">
              <w:rPr>
                <w:bCs/>
                <w:lang w:val="en-GB"/>
              </w:rPr>
              <w:t>. This included the processes for identifying such contracts, allocating hours, issuing contracts, and ensuring alignment with the payroll system, rather than addressing broader service design considerations.</w:t>
            </w:r>
          </w:p>
          <w:p w14:paraId="6D6A8AC3" w14:textId="77777777" w:rsidR="0085405E" w:rsidRPr="003438D1" w:rsidRDefault="0085405E" w:rsidP="00A02732">
            <w:pPr>
              <w:pStyle w:val="TableParagraph"/>
              <w:rPr>
                <w:b/>
                <w:lang w:val="en-GB"/>
              </w:rPr>
            </w:pPr>
          </w:p>
          <w:p w14:paraId="694D7E04" w14:textId="63602379" w:rsidR="0085405E" w:rsidRPr="003438D1" w:rsidRDefault="0085405E" w:rsidP="00A02732">
            <w:pPr>
              <w:pStyle w:val="TableParagraph"/>
              <w:rPr>
                <w:bCs/>
                <w:lang w:val="en-GB"/>
              </w:rPr>
            </w:pPr>
            <w:r w:rsidRPr="003438D1">
              <w:rPr>
                <w:bCs/>
                <w:lang w:val="en-GB"/>
              </w:rPr>
              <w:t>B Lawrie commented on the benefits of the</w:t>
            </w:r>
            <w:r w:rsidR="002173A9" w:rsidRPr="003438D1">
              <w:rPr>
                <w:bCs/>
                <w:lang w:val="en-GB"/>
              </w:rPr>
              <w:t xml:space="preserve"> RIE</w:t>
            </w:r>
            <w:r w:rsidRPr="003438D1">
              <w:rPr>
                <w:bCs/>
                <w:lang w:val="en-GB"/>
              </w:rPr>
              <w:t xml:space="preserve"> process, including the reduction of duplication and overall efficiency gains. J Grace added that any measures which alleviate workload pressure have been positively received. A Mawhirt emphasised the importance of recognition for the work being undertaken and the shared sense of ownership it fosters.</w:t>
            </w:r>
          </w:p>
          <w:p w14:paraId="13FCD9D7" w14:textId="77777777" w:rsidR="0085405E" w:rsidRPr="003438D1" w:rsidRDefault="0085405E" w:rsidP="00A02732">
            <w:pPr>
              <w:pStyle w:val="TableParagraph"/>
              <w:rPr>
                <w:b/>
                <w:lang w:val="en-GB"/>
              </w:rPr>
            </w:pPr>
          </w:p>
          <w:p w14:paraId="5CE8498D" w14:textId="75D38E02" w:rsidR="0085405E" w:rsidRPr="003438D1" w:rsidRDefault="0085405E" w:rsidP="00A02732">
            <w:pPr>
              <w:pStyle w:val="TableParagraph"/>
              <w:rPr>
                <w:bCs/>
                <w:lang w:val="en-GB"/>
              </w:rPr>
            </w:pPr>
            <w:r w:rsidRPr="003438D1">
              <w:rPr>
                <w:bCs/>
                <w:lang w:val="en-GB"/>
              </w:rPr>
              <w:t xml:space="preserve">C Cusick asked whether efficiency gains could be measured. S Taylor confirmed that while formal measurement is possible, the benefits </w:t>
            </w:r>
            <w:r w:rsidR="00FC7A83" w:rsidRPr="003438D1">
              <w:rPr>
                <w:bCs/>
                <w:lang w:val="en-GB"/>
              </w:rPr>
              <w:t>would be</w:t>
            </w:r>
            <w:r w:rsidRPr="003438D1">
              <w:rPr>
                <w:bCs/>
                <w:lang w:val="en-GB"/>
              </w:rPr>
              <w:t xml:space="preserve"> clearly evident in the revised process</w:t>
            </w:r>
            <w:r w:rsidR="00FC7A83" w:rsidRPr="003438D1">
              <w:rPr>
                <w:bCs/>
                <w:lang w:val="en-GB"/>
              </w:rPr>
              <w:t>.</w:t>
            </w:r>
          </w:p>
          <w:p w14:paraId="324A1085" w14:textId="77777777" w:rsidR="0085405E" w:rsidRPr="003438D1" w:rsidRDefault="0085405E" w:rsidP="00A02732">
            <w:pPr>
              <w:pStyle w:val="TableParagraph"/>
              <w:rPr>
                <w:b/>
                <w:lang w:val="en-GB"/>
              </w:rPr>
            </w:pPr>
          </w:p>
          <w:p w14:paraId="255B2413" w14:textId="78CCEAC8" w:rsidR="0085405E" w:rsidRPr="003438D1" w:rsidRDefault="0085405E" w:rsidP="00A02732">
            <w:pPr>
              <w:pStyle w:val="TableParagraph"/>
              <w:rPr>
                <w:bCs/>
                <w:lang w:val="en-GB"/>
              </w:rPr>
            </w:pPr>
            <w:r w:rsidRPr="003438D1">
              <w:rPr>
                <w:bCs/>
                <w:lang w:val="en-GB"/>
              </w:rPr>
              <w:t>A Mawhirt discussed the interconnected nature of internal and external communications, highlighting recent improvements in recruitment platforms which have contributed to increased application numbers. These efforts are closely linked with both recruitment campaigns and internal staff engagement. Future plans include a refresh of staff portal content and targeted messaging for various audiences</w:t>
            </w:r>
            <w:r w:rsidR="008528E6" w:rsidRPr="003438D1">
              <w:rPr>
                <w:bCs/>
                <w:lang w:val="en-GB"/>
              </w:rPr>
              <w:t>.</w:t>
            </w:r>
          </w:p>
          <w:p w14:paraId="3CD40B0F" w14:textId="77777777" w:rsidR="0085405E" w:rsidRPr="003438D1" w:rsidRDefault="0085405E" w:rsidP="00A02732">
            <w:pPr>
              <w:pStyle w:val="TableParagraph"/>
              <w:rPr>
                <w:b/>
                <w:lang w:val="en-GB"/>
              </w:rPr>
            </w:pPr>
          </w:p>
          <w:p w14:paraId="43C374D1" w14:textId="77777777" w:rsidR="0085405E" w:rsidRPr="003438D1" w:rsidRDefault="0085405E" w:rsidP="00A02732">
            <w:pPr>
              <w:pStyle w:val="TableParagraph"/>
              <w:rPr>
                <w:bCs/>
                <w:lang w:val="en-GB"/>
              </w:rPr>
            </w:pPr>
            <w:r w:rsidRPr="003438D1">
              <w:rPr>
                <w:bCs/>
                <w:lang w:val="en-GB"/>
              </w:rPr>
              <w:t xml:space="preserve">S Taylor mentioned upcoming staff awards and extended a welcome to Board members who may wish to participate. </w:t>
            </w:r>
          </w:p>
          <w:p w14:paraId="171373F9" w14:textId="77777777" w:rsidR="0085405E" w:rsidRPr="003438D1" w:rsidRDefault="0085405E" w:rsidP="00A02732">
            <w:pPr>
              <w:pStyle w:val="TableParagraph"/>
              <w:rPr>
                <w:bCs/>
                <w:lang w:val="en-GB"/>
              </w:rPr>
            </w:pPr>
          </w:p>
          <w:p w14:paraId="2F4BCFF8" w14:textId="62964006" w:rsidR="0085405E" w:rsidRPr="003438D1" w:rsidRDefault="0085405E" w:rsidP="00A02732">
            <w:pPr>
              <w:pStyle w:val="TableParagraph"/>
              <w:rPr>
                <w:bCs/>
                <w:lang w:val="en-GB"/>
              </w:rPr>
            </w:pPr>
            <w:r w:rsidRPr="003438D1">
              <w:rPr>
                <w:bCs/>
                <w:lang w:val="en-GB"/>
              </w:rPr>
              <w:t xml:space="preserve">S Taylor highlighted the TUC </w:t>
            </w:r>
            <w:r w:rsidRPr="003438D1">
              <w:rPr>
                <w:bCs/>
                <w:i/>
                <w:iCs/>
                <w:lang w:val="en-GB"/>
              </w:rPr>
              <w:t>Dying to Work</w:t>
            </w:r>
            <w:r w:rsidRPr="003438D1">
              <w:rPr>
                <w:bCs/>
                <w:lang w:val="en-GB"/>
              </w:rPr>
              <w:t xml:space="preserve"> Charter, noting widespread interest among staff and the importance of the associated resources. By adopting the Charter, the College formally commits to upholding its principles, thereby ensuring a supportive and compassionate environment for staff facing terminal illness. The initiative was </w:t>
            </w:r>
            <w:r w:rsidR="008528E6" w:rsidRPr="003438D1">
              <w:rPr>
                <w:bCs/>
                <w:lang w:val="en-GB"/>
              </w:rPr>
              <w:t>welcomed by the Committee.</w:t>
            </w:r>
          </w:p>
          <w:p w14:paraId="4EC5289A" w14:textId="77777777" w:rsidR="0085405E" w:rsidRPr="003438D1" w:rsidRDefault="0085405E" w:rsidP="00A02732">
            <w:pPr>
              <w:pStyle w:val="TableParagraph"/>
              <w:rPr>
                <w:b/>
                <w:lang w:val="en-GB"/>
              </w:rPr>
            </w:pPr>
          </w:p>
          <w:p w14:paraId="5244C673" w14:textId="2F094A9A" w:rsidR="0085405E" w:rsidRPr="003438D1" w:rsidRDefault="0085405E" w:rsidP="00A41DEB">
            <w:pPr>
              <w:pStyle w:val="TableParagraph"/>
              <w:rPr>
                <w:bCs/>
                <w:lang w:val="en-GB"/>
              </w:rPr>
            </w:pPr>
            <w:r w:rsidRPr="003438D1">
              <w:rPr>
                <w:bCs/>
                <w:lang w:val="en-GB"/>
              </w:rPr>
              <w:t>B Lawrie noted that the gender pay-gap figure had not been finalised within the paper</w:t>
            </w:r>
            <w:r w:rsidR="008528E6" w:rsidRPr="003438D1">
              <w:rPr>
                <w:bCs/>
                <w:lang w:val="en-GB"/>
              </w:rPr>
              <w:t>, S Taylor apologies for this and noted that the figure was included in the HR metrics</w:t>
            </w:r>
            <w:r w:rsidRPr="003438D1">
              <w:rPr>
                <w:bCs/>
                <w:lang w:val="en-GB"/>
              </w:rPr>
              <w:t>.</w:t>
            </w:r>
          </w:p>
          <w:p w14:paraId="014DEFE4" w14:textId="77777777" w:rsidR="0085405E" w:rsidRPr="003438D1" w:rsidRDefault="0085405E" w:rsidP="00A41DEB">
            <w:pPr>
              <w:pStyle w:val="TableParagraph"/>
              <w:rPr>
                <w:bCs/>
                <w:lang w:val="en-GB"/>
              </w:rPr>
            </w:pPr>
          </w:p>
          <w:p w14:paraId="13EE73FA" w14:textId="5BE2D9D5" w:rsidR="0085405E" w:rsidRPr="003438D1" w:rsidRDefault="0085405E" w:rsidP="00A41DEB">
            <w:pPr>
              <w:pStyle w:val="TableParagraph"/>
              <w:rPr>
                <w:b/>
                <w:lang w:val="en-GB"/>
              </w:rPr>
            </w:pPr>
            <w:r w:rsidRPr="003438D1">
              <w:rPr>
                <w:bCs/>
                <w:lang w:val="en-GB"/>
              </w:rPr>
              <w:t xml:space="preserve">D Mackenzie thanked S Taylor for the paper. </w:t>
            </w:r>
          </w:p>
          <w:p w14:paraId="0BF8365E" w14:textId="77777777" w:rsidR="0085405E" w:rsidRPr="003438D1" w:rsidRDefault="0085405E" w:rsidP="00A41DEB">
            <w:pPr>
              <w:pStyle w:val="TableParagraph"/>
              <w:rPr>
                <w:b/>
                <w:lang w:val="en-GB"/>
              </w:rPr>
            </w:pPr>
          </w:p>
        </w:tc>
      </w:tr>
      <w:tr w:rsidR="0085405E" w:rsidRPr="003438D1" w14:paraId="24A825E6" w14:textId="77777777" w:rsidTr="0085405E">
        <w:trPr>
          <w:trHeight w:val="505"/>
        </w:trPr>
        <w:tc>
          <w:tcPr>
            <w:tcW w:w="567" w:type="dxa"/>
          </w:tcPr>
          <w:p w14:paraId="48157F5E" w14:textId="77777777" w:rsidR="0085405E" w:rsidRPr="003438D1" w:rsidRDefault="0085405E" w:rsidP="00636C70">
            <w:pPr>
              <w:pStyle w:val="TableParagraph"/>
              <w:numPr>
                <w:ilvl w:val="0"/>
                <w:numId w:val="1"/>
              </w:numPr>
              <w:ind w:left="0" w:firstLine="0"/>
              <w:jc w:val="center"/>
              <w:rPr>
                <w:b/>
                <w:lang w:val="en-GB"/>
              </w:rPr>
            </w:pPr>
          </w:p>
        </w:tc>
        <w:tc>
          <w:tcPr>
            <w:tcW w:w="9356" w:type="dxa"/>
          </w:tcPr>
          <w:p w14:paraId="6B76503F" w14:textId="77777777" w:rsidR="0085405E" w:rsidRPr="003438D1" w:rsidRDefault="0085405E" w:rsidP="00A41DEB">
            <w:pPr>
              <w:pStyle w:val="TableParagraph"/>
              <w:rPr>
                <w:b/>
                <w:lang w:val="en-GB"/>
              </w:rPr>
            </w:pPr>
            <w:r w:rsidRPr="003438D1">
              <w:rPr>
                <w:b/>
                <w:lang w:val="en-GB"/>
              </w:rPr>
              <w:t>FINANCIAL SECURITY &amp; SAVINGS PLANNING</w:t>
            </w:r>
          </w:p>
          <w:p w14:paraId="2D967C43" w14:textId="77777777" w:rsidR="0085405E" w:rsidRPr="003438D1" w:rsidRDefault="0085405E" w:rsidP="00A41DEB">
            <w:pPr>
              <w:pStyle w:val="TableParagraph"/>
              <w:rPr>
                <w:b/>
                <w:lang w:val="en-GB"/>
              </w:rPr>
            </w:pPr>
          </w:p>
          <w:p w14:paraId="457BBF11" w14:textId="77777777" w:rsidR="00507FD3" w:rsidRPr="003438D1" w:rsidRDefault="0085405E" w:rsidP="005F174F">
            <w:pPr>
              <w:pStyle w:val="TableParagraph"/>
              <w:rPr>
                <w:bCs/>
                <w:lang w:val="en-GB"/>
              </w:rPr>
            </w:pPr>
            <w:r w:rsidRPr="003438D1">
              <w:rPr>
                <w:bCs/>
                <w:lang w:val="en-GB"/>
              </w:rPr>
              <w:t xml:space="preserve">S Taylor provided an update on the College’s current financial position, noting the ongoing challenges faced by the wider public sector. He emphasised that financial pressures have persisted over a number of years, with the College having previously implemented </w:t>
            </w:r>
            <w:r w:rsidR="00476F6E" w:rsidRPr="003438D1">
              <w:rPr>
                <w:bCs/>
                <w:lang w:val="en-GB"/>
              </w:rPr>
              <w:t xml:space="preserve">very major </w:t>
            </w:r>
            <w:r w:rsidRPr="003438D1">
              <w:rPr>
                <w:bCs/>
                <w:lang w:val="en-GB"/>
              </w:rPr>
              <w:t xml:space="preserve">savings plans merely to maintain its position. </w:t>
            </w:r>
          </w:p>
          <w:p w14:paraId="26C6EFAB" w14:textId="77777777" w:rsidR="00507FD3" w:rsidRPr="003438D1" w:rsidRDefault="00507FD3" w:rsidP="005F174F">
            <w:pPr>
              <w:pStyle w:val="TableParagraph"/>
              <w:rPr>
                <w:bCs/>
                <w:lang w:val="en-GB"/>
              </w:rPr>
            </w:pPr>
          </w:p>
          <w:p w14:paraId="43858FB9" w14:textId="375DDBD3" w:rsidR="0085405E" w:rsidRPr="003438D1" w:rsidRDefault="0085405E" w:rsidP="005F174F">
            <w:pPr>
              <w:pStyle w:val="TableParagraph"/>
              <w:rPr>
                <w:bCs/>
                <w:lang w:val="en-GB"/>
              </w:rPr>
            </w:pPr>
            <w:r w:rsidRPr="003438D1">
              <w:rPr>
                <w:bCs/>
                <w:lang w:val="en-GB"/>
              </w:rPr>
              <w:lastRenderedPageBreak/>
              <w:t xml:space="preserve">Over recent months, attention has been focused on </w:t>
            </w:r>
            <w:r w:rsidR="009035D0" w:rsidRPr="003438D1">
              <w:rPr>
                <w:bCs/>
                <w:lang w:val="en-GB"/>
              </w:rPr>
              <w:t>reviewing</w:t>
            </w:r>
            <w:r w:rsidRPr="003438D1">
              <w:rPr>
                <w:bCs/>
                <w:lang w:val="en-GB"/>
              </w:rPr>
              <w:t xml:space="preserve"> non-core College activities to ensure that scarce resources are directed towards student-facing priorities.</w:t>
            </w:r>
          </w:p>
          <w:p w14:paraId="03A1E690" w14:textId="77777777" w:rsidR="0085405E" w:rsidRPr="003438D1" w:rsidRDefault="0085405E" w:rsidP="005F174F">
            <w:pPr>
              <w:pStyle w:val="TableParagraph"/>
              <w:rPr>
                <w:b/>
                <w:lang w:val="en-GB"/>
              </w:rPr>
            </w:pPr>
          </w:p>
          <w:p w14:paraId="75E781C6" w14:textId="210A5E11" w:rsidR="0085405E" w:rsidRPr="003438D1" w:rsidRDefault="0085405E" w:rsidP="005F174F">
            <w:pPr>
              <w:pStyle w:val="TableParagraph"/>
              <w:rPr>
                <w:bCs/>
                <w:lang w:val="en-GB"/>
              </w:rPr>
            </w:pPr>
            <w:r w:rsidRPr="003438D1">
              <w:rPr>
                <w:bCs/>
                <w:lang w:val="en-GB"/>
              </w:rPr>
              <w:t>As part of this strategic review, operational arrangements concerning the Gardyne Theatre, the Gardyne Sports Centre, and the</w:t>
            </w:r>
            <w:r w:rsidR="009035D0" w:rsidRPr="003438D1">
              <w:rPr>
                <w:bCs/>
                <w:lang w:val="en-GB"/>
              </w:rPr>
              <w:t xml:space="preserve"> P</w:t>
            </w:r>
            <w:r w:rsidRPr="003438D1">
              <w:rPr>
                <w:bCs/>
                <w:lang w:val="en-GB"/>
              </w:rPr>
              <w:t>ool have been under consideration. Financial reviews of both the Service Design Academy and the sports facilities have shown that the College is currently making a significant financial contribution to maintain these services</w:t>
            </w:r>
            <w:r w:rsidR="00974BA0" w:rsidRPr="003438D1">
              <w:rPr>
                <w:bCs/>
                <w:lang w:val="en-GB"/>
              </w:rPr>
              <w:t xml:space="preserve">. This was an </w:t>
            </w:r>
            <w:r w:rsidRPr="003438D1">
              <w:rPr>
                <w:bCs/>
                <w:lang w:val="en-GB"/>
              </w:rPr>
              <w:t>unsustainable position in the long term.</w:t>
            </w:r>
          </w:p>
          <w:p w14:paraId="06204E90" w14:textId="77777777" w:rsidR="0085405E" w:rsidRPr="003438D1" w:rsidRDefault="0085405E" w:rsidP="005F174F">
            <w:pPr>
              <w:pStyle w:val="TableParagraph"/>
              <w:rPr>
                <w:b/>
                <w:lang w:val="en-GB"/>
              </w:rPr>
            </w:pPr>
          </w:p>
          <w:p w14:paraId="4D6A7367" w14:textId="39C67712" w:rsidR="0085405E" w:rsidRPr="003438D1" w:rsidRDefault="0085405E" w:rsidP="005F174F">
            <w:pPr>
              <w:pStyle w:val="TableParagraph"/>
              <w:rPr>
                <w:bCs/>
                <w:lang w:val="en-GB"/>
              </w:rPr>
            </w:pPr>
            <w:r w:rsidRPr="003438D1">
              <w:rPr>
                <w:bCs/>
                <w:lang w:val="en-GB"/>
              </w:rPr>
              <w:t>S Taylor highlighted the key financial concerns which include flat cash settlements, rising operational costs, and particularly high employer on-costs</w:t>
            </w:r>
            <w:r w:rsidR="00974BA0" w:rsidRPr="003438D1">
              <w:rPr>
                <w:bCs/>
                <w:lang w:val="en-GB"/>
              </w:rPr>
              <w:t>, which accounted for an additional 41% over and above the salary costs for academic staff</w:t>
            </w:r>
            <w:r w:rsidRPr="003438D1">
              <w:rPr>
                <w:bCs/>
                <w:lang w:val="en-GB"/>
              </w:rPr>
              <w:t>. Reducing costs would require reductions in staffing, which would in turn affect income; however, the financial contributions currently required to sustain these non-core services are substantial</w:t>
            </w:r>
            <w:r w:rsidR="00974BA0" w:rsidRPr="003438D1">
              <w:rPr>
                <w:bCs/>
                <w:lang w:val="en-GB"/>
              </w:rPr>
              <w:t xml:space="preserve"> and the proposals to reduce activities would result in a net financial benefit for the College</w:t>
            </w:r>
            <w:r w:rsidR="00424668" w:rsidRPr="003438D1">
              <w:rPr>
                <w:bCs/>
                <w:lang w:val="en-GB"/>
              </w:rPr>
              <w:t>.</w:t>
            </w:r>
          </w:p>
          <w:p w14:paraId="6644B543" w14:textId="77777777" w:rsidR="0085405E" w:rsidRPr="003438D1" w:rsidRDefault="0085405E" w:rsidP="005F174F">
            <w:pPr>
              <w:pStyle w:val="TableParagraph"/>
              <w:rPr>
                <w:b/>
                <w:lang w:val="en-GB"/>
              </w:rPr>
            </w:pPr>
          </w:p>
          <w:p w14:paraId="07DA149B" w14:textId="7C08B42E" w:rsidR="0085405E" w:rsidRPr="003438D1" w:rsidRDefault="0085405E" w:rsidP="005F174F">
            <w:pPr>
              <w:pStyle w:val="TableParagraph"/>
              <w:rPr>
                <w:bCs/>
                <w:lang w:val="en-GB"/>
              </w:rPr>
            </w:pPr>
            <w:r w:rsidRPr="003438D1">
              <w:rPr>
                <w:bCs/>
                <w:lang w:val="en-GB"/>
              </w:rPr>
              <w:t xml:space="preserve">S Taylor confirmed that initial consultation processes have begun with the affected staff, with clear and open dialogue </w:t>
            </w:r>
            <w:r w:rsidR="00424668" w:rsidRPr="003438D1">
              <w:rPr>
                <w:bCs/>
                <w:lang w:val="en-GB"/>
              </w:rPr>
              <w:t xml:space="preserve">also </w:t>
            </w:r>
            <w:r w:rsidRPr="003438D1">
              <w:rPr>
                <w:bCs/>
                <w:lang w:val="en-GB"/>
              </w:rPr>
              <w:t>maintained with trade unions. He stressed that the proposals at this stage relate only to consultation and restructuring options. Staff in the affected areas have been informed that voluntary severance remains available, and redeployment opportunities will be actively explored. The College is committed to ongoing engagement with staff and unions throughout the process.</w:t>
            </w:r>
          </w:p>
          <w:p w14:paraId="6C4ABF4A" w14:textId="77777777" w:rsidR="0085405E" w:rsidRPr="003438D1" w:rsidRDefault="0085405E" w:rsidP="005F174F">
            <w:pPr>
              <w:pStyle w:val="TableParagraph"/>
              <w:rPr>
                <w:b/>
                <w:lang w:val="en-GB"/>
              </w:rPr>
            </w:pPr>
          </w:p>
          <w:p w14:paraId="54553E26" w14:textId="1A0FC869" w:rsidR="0085405E" w:rsidRPr="003438D1" w:rsidRDefault="0085405E" w:rsidP="005F174F">
            <w:pPr>
              <w:pStyle w:val="TableParagraph"/>
              <w:rPr>
                <w:bCs/>
                <w:lang w:val="en-GB"/>
              </w:rPr>
            </w:pPr>
            <w:r w:rsidRPr="003438D1">
              <w:rPr>
                <w:bCs/>
                <w:lang w:val="en-GB"/>
              </w:rPr>
              <w:t>In regard to the Gardyne Theatre, Sports Centre, and swimming pool-the external use is being considered within the context of existing College policies. Discussions are ongoing with two local authorities, particularly in the areas of leisure and culture, to explore options such as continuation of gym memberships and fitness classes. These discussions have been positive and supportive, with efforts being made to mitigate any potential loss of provision.</w:t>
            </w:r>
          </w:p>
          <w:p w14:paraId="3B21846F" w14:textId="77777777" w:rsidR="0085405E" w:rsidRPr="003438D1" w:rsidRDefault="0085405E" w:rsidP="005F174F">
            <w:pPr>
              <w:pStyle w:val="TableParagraph"/>
              <w:rPr>
                <w:b/>
                <w:lang w:val="en-GB"/>
              </w:rPr>
            </w:pPr>
          </w:p>
          <w:p w14:paraId="653E085A" w14:textId="22DE4D89" w:rsidR="0085405E" w:rsidRPr="003438D1" w:rsidRDefault="0085405E" w:rsidP="005F174F">
            <w:pPr>
              <w:pStyle w:val="TableParagraph"/>
              <w:rPr>
                <w:bCs/>
                <w:lang w:val="en-GB"/>
              </w:rPr>
            </w:pPr>
            <w:r w:rsidRPr="003438D1">
              <w:rPr>
                <w:bCs/>
                <w:lang w:val="en-GB"/>
              </w:rPr>
              <w:t xml:space="preserve">S Taylor acknowledged the emotional and professional impact on staff affected by the proposals and confirmed that </w:t>
            </w:r>
            <w:r w:rsidR="0065411B" w:rsidRPr="003438D1">
              <w:rPr>
                <w:bCs/>
                <w:lang w:val="en-GB"/>
              </w:rPr>
              <w:t xml:space="preserve">information </w:t>
            </w:r>
            <w:r w:rsidRPr="003438D1">
              <w:rPr>
                <w:bCs/>
                <w:lang w:val="en-GB"/>
              </w:rPr>
              <w:t>outlining the rationale and the proposed changes had been shared with those staff members</w:t>
            </w:r>
            <w:r w:rsidR="0065411B" w:rsidRPr="003438D1">
              <w:rPr>
                <w:bCs/>
                <w:lang w:val="en-GB"/>
              </w:rPr>
              <w:t xml:space="preserve"> and that an open consultation route was in place for all staff</w:t>
            </w:r>
            <w:r w:rsidR="00E222AE" w:rsidRPr="003438D1">
              <w:rPr>
                <w:bCs/>
                <w:lang w:val="en-GB"/>
              </w:rPr>
              <w:t>.</w:t>
            </w:r>
          </w:p>
          <w:p w14:paraId="7944177A" w14:textId="77777777" w:rsidR="0085405E" w:rsidRPr="003438D1" w:rsidRDefault="0085405E" w:rsidP="005F174F">
            <w:pPr>
              <w:pStyle w:val="TableParagraph"/>
              <w:rPr>
                <w:b/>
                <w:lang w:val="en-GB"/>
              </w:rPr>
            </w:pPr>
          </w:p>
          <w:p w14:paraId="17D348A7" w14:textId="0AB66093" w:rsidR="0085405E" w:rsidRPr="003438D1" w:rsidRDefault="0085405E" w:rsidP="005F174F">
            <w:pPr>
              <w:pStyle w:val="TableParagraph"/>
              <w:rPr>
                <w:bCs/>
                <w:lang w:val="en-GB"/>
              </w:rPr>
            </w:pPr>
            <w:r w:rsidRPr="003438D1">
              <w:rPr>
                <w:bCs/>
                <w:lang w:val="en-GB"/>
              </w:rPr>
              <w:t>B Lawrie welcomed the engagement with trade unions and expressed support for the proposed creation of 1.5 FTE vacancies for Sports Technicians. He commended the College’s approach to involving staff in shaping proposals and seeking their input.</w:t>
            </w:r>
          </w:p>
          <w:p w14:paraId="3AC529B6" w14:textId="77777777" w:rsidR="0085405E" w:rsidRPr="003438D1" w:rsidRDefault="0085405E" w:rsidP="005F174F">
            <w:pPr>
              <w:pStyle w:val="TableParagraph"/>
              <w:rPr>
                <w:b/>
                <w:lang w:val="en-GB"/>
              </w:rPr>
            </w:pPr>
          </w:p>
          <w:p w14:paraId="1F96EDFC" w14:textId="72005FA2" w:rsidR="0085405E" w:rsidRPr="003438D1" w:rsidRDefault="0085405E" w:rsidP="005F174F">
            <w:pPr>
              <w:pStyle w:val="TableParagraph"/>
              <w:rPr>
                <w:bCs/>
                <w:lang w:val="en-GB"/>
              </w:rPr>
            </w:pPr>
            <w:r w:rsidRPr="003438D1">
              <w:rPr>
                <w:bCs/>
                <w:lang w:val="en-GB"/>
              </w:rPr>
              <w:t>J Grace noted that affected staff would be given the first opportunity to apply for any new roles arising from the changes.</w:t>
            </w:r>
          </w:p>
          <w:p w14:paraId="377CA7AB" w14:textId="77777777" w:rsidR="0085405E" w:rsidRPr="003438D1" w:rsidRDefault="0085405E" w:rsidP="005F174F">
            <w:pPr>
              <w:pStyle w:val="TableParagraph"/>
              <w:rPr>
                <w:bCs/>
                <w:lang w:val="en-GB"/>
              </w:rPr>
            </w:pPr>
          </w:p>
          <w:p w14:paraId="0A51C7A7" w14:textId="7E84DCD6" w:rsidR="0085405E" w:rsidRPr="003438D1" w:rsidRDefault="0085405E" w:rsidP="005F174F">
            <w:pPr>
              <w:pStyle w:val="TableParagraph"/>
              <w:rPr>
                <w:bCs/>
                <w:lang w:val="en-GB"/>
              </w:rPr>
            </w:pPr>
            <w:r w:rsidRPr="003438D1">
              <w:rPr>
                <w:bCs/>
                <w:lang w:val="en-GB"/>
              </w:rPr>
              <w:t xml:space="preserve">D Mackenzie </w:t>
            </w:r>
            <w:r w:rsidR="00E222AE" w:rsidRPr="003438D1">
              <w:rPr>
                <w:bCs/>
                <w:lang w:val="en-GB"/>
              </w:rPr>
              <w:t xml:space="preserve">asked about the infrastructure concerns regarding the pool and asked if </w:t>
            </w:r>
            <w:r w:rsidR="000413E4" w:rsidRPr="003438D1">
              <w:rPr>
                <w:bCs/>
                <w:lang w:val="en-GB"/>
              </w:rPr>
              <w:t>this had been assessed</w:t>
            </w:r>
            <w:r w:rsidRPr="003438D1">
              <w:rPr>
                <w:bCs/>
                <w:lang w:val="en-GB"/>
              </w:rPr>
              <w:t>. S Taylor confirmed that infrastructure concerns have been discussed through the Finance and Property Committee. He acknowledged that current funding levels for capital maintenance are low, with ongoing issues relating to maintenance needs, including the Clova Building in Arbroath</w:t>
            </w:r>
            <w:r w:rsidR="00C3213E" w:rsidRPr="003438D1">
              <w:rPr>
                <w:bCs/>
                <w:lang w:val="en-GB"/>
              </w:rPr>
              <w:t xml:space="preserve"> and the Kingsway</w:t>
            </w:r>
            <w:r w:rsidRPr="003438D1">
              <w:rPr>
                <w:bCs/>
                <w:lang w:val="en-GB"/>
              </w:rPr>
              <w:t xml:space="preserve"> Campus. The </w:t>
            </w:r>
            <w:r w:rsidR="00C3213E" w:rsidRPr="003438D1">
              <w:rPr>
                <w:bCs/>
                <w:lang w:val="en-GB"/>
              </w:rPr>
              <w:t>pool</w:t>
            </w:r>
            <w:r w:rsidRPr="003438D1">
              <w:rPr>
                <w:bCs/>
                <w:lang w:val="en-GB"/>
              </w:rPr>
              <w:t xml:space="preserve"> requires substantial investment but is currently used for only two hours per week in the curriculum, making such investment difficult to justify. J Grace echoed this concern, noting the challenge of justifying capital investment in a </w:t>
            </w:r>
            <w:r w:rsidR="00294134" w:rsidRPr="003438D1">
              <w:rPr>
                <w:bCs/>
                <w:lang w:val="en-GB"/>
              </w:rPr>
              <w:t>non-core</w:t>
            </w:r>
            <w:r w:rsidRPr="003438D1">
              <w:rPr>
                <w:bCs/>
                <w:lang w:val="en-GB"/>
              </w:rPr>
              <w:t xml:space="preserve"> facility.</w:t>
            </w:r>
          </w:p>
          <w:p w14:paraId="181C40C7" w14:textId="77777777" w:rsidR="0085405E" w:rsidRPr="003438D1" w:rsidRDefault="0085405E" w:rsidP="005F174F">
            <w:pPr>
              <w:pStyle w:val="TableParagraph"/>
              <w:rPr>
                <w:b/>
                <w:lang w:val="en-GB"/>
              </w:rPr>
            </w:pPr>
          </w:p>
          <w:p w14:paraId="7E650E6E" w14:textId="20F7460C" w:rsidR="0085405E" w:rsidRPr="003438D1" w:rsidRDefault="0085405E" w:rsidP="005F174F">
            <w:pPr>
              <w:pStyle w:val="TableParagraph"/>
              <w:rPr>
                <w:bCs/>
                <w:lang w:val="en-GB"/>
              </w:rPr>
            </w:pPr>
            <w:r w:rsidRPr="003438D1">
              <w:rPr>
                <w:bCs/>
                <w:lang w:val="en-GB"/>
              </w:rPr>
              <w:t xml:space="preserve">D Mackenzie asked whether staff </w:t>
            </w:r>
            <w:r w:rsidR="00294134" w:rsidRPr="003438D1">
              <w:rPr>
                <w:bCs/>
                <w:lang w:val="en-GB"/>
              </w:rPr>
              <w:t>on a wider ba</w:t>
            </w:r>
            <w:r w:rsidR="005D060C" w:rsidRPr="003438D1">
              <w:rPr>
                <w:bCs/>
                <w:lang w:val="en-GB"/>
              </w:rPr>
              <w:t xml:space="preserve">sis across the College </w:t>
            </w:r>
            <w:r w:rsidRPr="003438D1">
              <w:rPr>
                <w:bCs/>
                <w:lang w:val="en-GB"/>
              </w:rPr>
              <w:t>should view the changes as a threat</w:t>
            </w:r>
            <w:r w:rsidR="005D060C" w:rsidRPr="003438D1">
              <w:rPr>
                <w:bCs/>
                <w:lang w:val="en-GB"/>
              </w:rPr>
              <w:t xml:space="preserve">. </w:t>
            </w:r>
            <w:r w:rsidRPr="003438D1">
              <w:rPr>
                <w:bCs/>
                <w:lang w:val="en-GB"/>
              </w:rPr>
              <w:t xml:space="preserve">S Taylor responded that while these decisions are difficult, they are part of a broader effort to prioritise resources towards </w:t>
            </w:r>
            <w:r w:rsidR="005D060C" w:rsidRPr="003438D1">
              <w:rPr>
                <w:bCs/>
                <w:lang w:val="en-GB"/>
              </w:rPr>
              <w:t xml:space="preserve">the core role of the College in </w:t>
            </w:r>
            <w:r w:rsidRPr="003438D1">
              <w:rPr>
                <w:bCs/>
                <w:lang w:val="en-GB"/>
              </w:rPr>
              <w:t xml:space="preserve">enhancing the student experience. He acknowledged a sense of uncertainty across the public sector, and that despite best efforts, the College remains on a financial “treadmill,” with limited scope </w:t>
            </w:r>
            <w:r w:rsidR="00B75B63" w:rsidRPr="003438D1">
              <w:rPr>
                <w:bCs/>
                <w:lang w:val="en-GB"/>
              </w:rPr>
              <w:t>for this to change given the on-going flat cash nature of funding</w:t>
            </w:r>
            <w:r w:rsidR="00130CAA" w:rsidRPr="003438D1">
              <w:rPr>
                <w:bCs/>
                <w:lang w:val="en-GB"/>
              </w:rPr>
              <w:t xml:space="preserve"> and increasing costs</w:t>
            </w:r>
            <w:r w:rsidRPr="003438D1">
              <w:rPr>
                <w:bCs/>
                <w:lang w:val="en-GB"/>
              </w:rPr>
              <w:t>. He reiterated that staff deserve pay awards, and that the College continues to push forward despite these financial constraints.</w:t>
            </w:r>
          </w:p>
          <w:p w14:paraId="7AD88B1F" w14:textId="77777777" w:rsidR="0085405E" w:rsidRPr="003438D1" w:rsidRDefault="0085405E" w:rsidP="005F174F">
            <w:pPr>
              <w:pStyle w:val="TableParagraph"/>
              <w:rPr>
                <w:b/>
                <w:lang w:val="en-GB"/>
              </w:rPr>
            </w:pPr>
          </w:p>
          <w:p w14:paraId="58C453E5" w14:textId="1AB3FB78" w:rsidR="0085405E" w:rsidRPr="003438D1" w:rsidRDefault="0085405E" w:rsidP="005F174F">
            <w:pPr>
              <w:pStyle w:val="TableParagraph"/>
              <w:rPr>
                <w:bCs/>
                <w:lang w:val="en-GB"/>
              </w:rPr>
            </w:pPr>
            <w:r w:rsidRPr="003438D1">
              <w:rPr>
                <w:bCs/>
                <w:lang w:val="en-GB"/>
              </w:rPr>
              <w:t xml:space="preserve">R Gordon raised concerns about the potential for further cuts in the future and the need to manage communications carefully to avoid unnecessary worry while maintaining transparency. S Taylor agreed, noting the importance of open communication and reaffirming the College’s commitment to engaging proactively with staff and unions. He added that all </w:t>
            </w:r>
            <w:r w:rsidR="00130CAA" w:rsidRPr="003438D1">
              <w:rPr>
                <w:bCs/>
                <w:lang w:val="en-GB"/>
              </w:rPr>
              <w:t xml:space="preserve">consultation </w:t>
            </w:r>
            <w:r w:rsidRPr="003438D1">
              <w:rPr>
                <w:bCs/>
                <w:lang w:val="en-GB"/>
              </w:rPr>
              <w:t>queries are being addressed within a five-day turnaround to ensure effective respons</w:t>
            </w:r>
            <w:r w:rsidR="00130CAA" w:rsidRPr="003438D1">
              <w:rPr>
                <w:bCs/>
                <w:lang w:val="en-GB"/>
              </w:rPr>
              <w:t>es are received</w:t>
            </w:r>
            <w:r w:rsidRPr="003438D1">
              <w:rPr>
                <w:bCs/>
                <w:lang w:val="en-GB"/>
              </w:rPr>
              <w:t>.</w:t>
            </w:r>
          </w:p>
          <w:p w14:paraId="4CA6D635" w14:textId="643E614D" w:rsidR="0085405E" w:rsidRPr="003438D1" w:rsidRDefault="0085405E" w:rsidP="005F174F">
            <w:pPr>
              <w:pStyle w:val="TableParagraph"/>
              <w:rPr>
                <w:b/>
                <w:lang w:val="en-GB"/>
              </w:rPr>
            </w:pPr>
          </w:p>
          <w:p w14:paraId="41B98A92" w14:textId="77777777" w:rsidR="00CD68A7" w:rsidRPr="003438D1" w:rsidRDefault="0085405E" w:rsidP="005F174F">
            <w:pPr>
              <w:pStyle w:val="TableParagraph"/>
              <w:rPr>
                <w:bCs/>
                <w:lang w:val="en-GB"/>
              </w:rPr>
            </w:pPr>
            <w:r w:rsidRPr="003438D1">
              <w:rPr>
                <w:bCs/>
                <w:lang w:val="en-GB"/>
              </w:rPr>
              <w:t xml:space="preserve">D Mackenzie commented on the importance of maintaining momentum and collaboration throughout the process, observing that the College’s approach had helped mitigate the impact of </w:t>
            </w:r>
            <w:r w:rsidR="00CD68A7" w:rsidRPr="003438D1">
              <w:rPr>
                <w:bCs/>
                <w:lang w:val="en-GB"/>
              </w:rPr>
              <w:t xml:space="preserve">difficult steps like this in the past. </w:t>
            </w:r>
          </w:p>
          <w:p w14:paraId="26D8595D" w14:textId="77777777" w:rsidR="00CD68A7" w:rsidRPr="003438D1" w:rsidRDefault="00CD68A7" w:rsidP="005F174F">
            <w:pPr>
              <w:pStyle w:val="TableParagraph"/>
              <w:rPr>
                <w:bCs/>
                <w:lang w:val="en-GB"/>
              </w:rPr>
            </w:pPr>
          </w:p>
          <w:p w14:paraId="37748A71" w14:textId="0605C80D" w:rsidR="0085405E" w:rsidRPr="003438D1" w:rsidRDefault="0085405E" w:rsidP="005F174F">
            <w:pPr>
              <w:pStyle w:val="TableParagraph"/>
              <w:rPr>
                <w:bCs/>
                <w:lang w:val="en-GB"/>
              </w:rPr>
            </w:pPr>
            <w:r w:rsidRPr="003438D1">
              <w:rPr>
                <w:bCs/>
                <w:lang w:val="en-GB"/>
              </w:rPr>
              <w:t>S Taylor confirmed that the College is navigating the situation as transparently as possible and continuing open conversations with all stakeholders.</w:t>
            </w:r>
          </w:p>
          <w:p w14:paraId="0C6929CC" w14:textId="77777777" w:rsidR="0085405E" w:rsidRPr="003438D1" w:rsidRDefault="0085405E" w:rsidP="005F174F">
            <w:pPr>
              <w:pStyle w:val="TableParagraph"/>
              <w:rPr>
                <w:b/>
                <w:lang w:val="en-GB"/>
              </w:rPr>
            </w:pPr>
          </w:p>
          <w:p w14:paraId="0CEFED11" w14:textId="67573AA4" w:rsidR="0085405E" w:rsidRPr="003438D1" w:rsidRDefault="0085405E" w:rsidP="005F174F">
            <w:pPr>
              <w:pStyle w:val="TableParagraph"/>
              <w:rPr>
                <w:bCs/>
                <w:lang w:val="en-GB"/>
              </w:rPr>
            </w:pPr>
            <w:r w:rsidRPr="003438D1">
              <w:rPr>
                <w:bCs/>
                <w:lang w:val="en-GB"/>
              </w:rPr>
              <w:t xml:space="preserve">B Lawrie raised a final point regarding Dundee Football Club’s use of gym facilities, querying </w:t>
            </w:r>
            <w:r w:rsidR="000E3E6F" w:rsidRPr="003438D1">
              <w:rPr>
                <w:bCs/>
                <w:lang w:val="en-GB"/>
              </w:rPr>
              <w:t xml:space="preserve">if </w:t>
            </w:r>
            <w:r w:rsidRPr="003438D1">
              <w:rPr>
                <w:bCs/>
                <w:lang w:val="en-GB"/>
              </w:rPr>
              <w:t xml:space="preserve">such arrangements could continue in light of the proposed changes. S Taylor responded that future access to these facilities </w:t>
            </w:r>
            <w:r w:rsidR="000E3E6F" w:rsidRPr="003438D1">
              <w:rPr>
                <w:bCs/>
                <w:lang w:val="en-GB"/>
              </w:rPr>
              <w:t>were being planned and w</w:t>
            </w:r>
            <w:r w:rsidRPr="003438D1">
              <w:rPr>
                <w:bCs/>
                <w:lang w:val="en-GB"/>
              </w:rPr>
              <w:t xml:space="preserve">ould be based </w:t>
            </w:r>
            <w:r w:rsidR="000E3E6F" w:rsidRPr="003438D1">
              <w:rPr>
                <w:bCs/>
                <w:lang w:val="en-GB"/>
              </w:rPr>
              <w:t xml:space="preserve">around current </w:t>
            </w:r>
            <w:r w:rsidRPr="003438D1">
              <w:rPr>
                <w:bCs/>
                <w:lang w:val="en-GB"/>
              </w:rPr>
              <w:t>hire arrangements, with responsibilities for oversight and staffing falling under external arrangements rather than College staff.</w:t>
            </w:r>
          </w:p>
          <w:p w14:paraId="0844C8E9" w14:textId="77777777" w:rsidR="0085405E" w:rsidRPr="003438D1" w:rsidRDefault="0085405E" w:rsidP="005F174F">
            <w:pPr>
              <w:pStyle w:val="TableParagraph"/>
              <w:rPr>
                <w:bCs/>
                <w:lang w:val="en-GB"/>
              </w:rPr>
            </w:pPr>
          </w:p>
          <w:p w14:paraId="1A9C0ACA" w14:textId="033BEE1A" w:rsidR="0085405E" w:rsidRPr="003438D1" w:rsidRDefault="0085405E" w:rsidP="000909CD">
            <w:pPr>
              <w:pStyle w:val="TableParagraph"/>
              <w:rPr>
                <w:b/>
                <w:lang w:val="en-GB"/>
              </w:rPr>
            </w:pPr>
            <w:r w:rsidRPr="003438D1">
              <w:rPr>
                <w:bCs/>
                <w:lang w:val="en-GB"/>
              </w:rPr>
              <w:t xml:space="preserve">D Mackenzie thanked S Taylor for the comprehensive report. </w:t>
            </w:r>
          </w:p>
          <w:p w14:paraId="7BC4087F" w14:textId="740BF16E" w:rsidR="0085405E" w:rsidRPr="003438D1" w:rsidRDefault="0085405E" w:rsidP="000909CD">
            <w:pPr>
              <w:pStyle w:val="TableParagraph"/>
              <w:rPr>
                <w:b/>
                <w:lang w:val="en-GB"/>
              </w:rPr>
            </w:pPr>
          </w:p>
        </w:tc>
      </w:tr>
      <w:tr w:rsidR="0085405E" w:rsidRPr="003438D1" w14:paraId="65AC597F" w14:textId="77777777" w:rsidTr="0085405E">
        <w:trPr>
          <w:trHeight w:val="505"/>
        </w:trPr>
        <w:tc>
          <w:tcPr>
            <w:tcW w:w="567" w:type="dxa"/>
          </w:tcPr>
          <w:p w14:paraId="61C2A65E" w14:textId="77777777" w:rsidR="0085405E" w:rsidRPr="003438D1" w:rsidRDefault="0085405E" w:rsidP="00636C70">
            <w:pPr>
              <w:pStyle w:val="TableParagraph"/>
              <w:numPr>
                <w:ilvl w:val="0"/>
                <w:numId w:val="1"/>
              </w:numPr>
              <w:ind w:left="0" w:firstLine="0"/>
              <w:jc w:val="center"/>
              <w:rPr>
                <w:b/>
                <w:lang w:val="en-GB"/>
              </w:rPr>
            </w:pPr>
          </w:p>
        </w:tc>
        <w:tc>
          <w:tcPr>
            <w:tcW w:w="9356" w:type="dxa"/>
          </w:tcPr>
          <w:p w14:paraId="03755EBC" w14:textId="77777777" w:rsidR="0085405E" w:rsidRPr="003438D1" w:rsidRDefault="0085405E" w:rsidP="00A41DEB">
            <w:pPr>
              <w:pStyle w:val="TableParagraph"/>
              <w:rPr>
                <w:b/>
                <w:lang w:val="en-GB"/>
              </w:rPr>
            </w:pPr>
            <w:r w:rsidRPr="003438D1">
              <w:rPr>
                <w:b/>
                <w:lang w:val="en-GB"/>
              </w:rPr>
              <w:t>NATIONAL BARGAINING UPDATE</w:t>
            </w:r>
          </w:p>
          <w:p w14:paraId="057A51DC" w14:textId="77777777" w:rsidR="0085405E" w:rsidRPr="003438D1" w:rsidRDefault="0085405E" w:rsidP="00A41DEB">
            <w:pPr>
              <w:pStyle w:val="TableParagraph"/>
              <w:rPr>
                <w:b/>
                <w:lang w:val="en-GB"/>
              </w:rPr>
            </w:pPr>
          </w:p>
          <w:p w14:paraId="621CC4DA" w14:textId="4AC81908" w:rsidR="0085405E" w:rsidRPr="003438D1" w:rsidRDefault="0085405E" w:rsidP="00E7626B">
            <w:pPr>
              <w:pStyle w:val="TableParagraph"/>
              <w:rPr>
                <w:bCs/>
                <w:lang w:val="en-GB"/>
              </w:rPr>
            </w:pPr>
            <w:r w:rsidRPr="003438D1">
              <w:rPr>
                <w:bCs/>
                <w:lang w:val="en-GB"/>
              </w:rPr>
              <w:t xml:space="preserve">S Taylor provided a positive update, confirming that progress continues across several key areas. </w:t>
            </w:r>
            <w:r w:rsidR="000E3E6F" w:rsidRPr="003438D1">
              <w:rPr>
                <w:bCs/>
                <w:lang w:val="en-GB"/>
              </w:rPr>
              <w:t xml:space="preserve">This included resolution of a number of longstanding national issues and disputes </w:t>
            </w:r>
            <w:r w:rsidR="001E3648" w:rsidRPr="003438D1">
              <w:rPr>
                <w:bCs/>
                <w:lang w:val="en-GB"/>
              </w:rPr>
              <w:t xml:space="preserve">with EIS/FELA. </w:t>
            </w:r>
          </w:p>
          <w:p w14:paraId="4BE475FA" w14:textId="77777777" w:rsidR="0085405E" w:rsidRPr="003438D1" w:rsidRDefault="0085405E" w:rsidP="00E7626B">
            <w:pPr>
              <w:pStyle w:val="TableParagraph"/>
              <w:rPr>
                <w:b/>
                <w:lang w:val="en-GB"/>
              </w:rPr>
            </w:pPr>
          </w:p>
          <w:p w14:paraId="04B8D343" w14:textId="4872C02C" w:rsidR="0085405E" w:rsidRPr="003438D1" w:rsidRDefault="0085405E" w:rsidP="00E7626B">
            <w:pPr>
              <w:pStyle w:val="TableParagraph"/>
              <w:rPr>
                <w:bCs/>
                <w:lang w:val="en-GB"/>
              </w:rPr>
            </w:pPr>
            <w:r w:rsidRPr="003438D1">
              <w:rPr>
                <w:bCs/>
                <w:lang w:val="en-GB"/>
              </w:rPr>
              <w:t xml:space="preserve">Discussions </w:t>
            </w:r>
            <w:r w:rsidR="001E3648" w:rsidRPr="003438D1">
              <w:rPr>
                <w:bCs/>
                <w:lang w:val="en-GB"/>
              </w:rPr>
              <w:t xml:space="preserve">on salaries </w:t>
            </w:r>
            <w:r w:rsidRPr="003438D1">
              <w:rPr>
                <w:bCs/>
                <w:lang w:val="en-GB"/>
              </w:rPr>
              <w:t xml:space="preserve">with support staff are also progressing well, albeit without a final outcome at this stage. S Taylor noted that these negotiations have had a notably different tone, and there is potential for agreement on a three-year deal. Such a settlement would contribute to a more stable period, which in turn </w:t>
            </w:r>
            <w:r w:rsidR="001E3648" w:rsidRPr="003438D1">
              <w:rPr>
                <w:bCs/>
                <w:lang w:val="en-GB"/>
              </w:rPr>
              <w:t xml:space="preserve">it was hoped </w:t>
            </w:r>
            <w:r w:rsidRPr="003438D1">
              <w:rPr>
                <w:bCs/>
                <w:lang w:val="en-GB"/>
              </w:rPr>
              <w:t>would support the implementation of the national job evaluation project and provide greater clarity for financial planning. Conversations are ongoing regarding potential Scottish Government funding to support this, which, while not yet finalised, appear more positive</w:t>
            </w:r>
            <w:r w:rsidR="000A3022" w:rsidRPr="003438D1">
              <w:rPr>
                <w:bCs/>
                <w:lang w:val="en-GB"/>
              </w:rPr>
              <w:t>.</w:t>
            </w:r>
          </w:p>
          <w:p w14:paraId="6975CDDF" w14:textId="77777777" w:rsidR="0085405E" w:rsidRPr="003438D1" w:rsidRDefault="0085405E" w:rsidP="00E7626B">
            <w:pPr>
              <w:pStyle w:val="TableParagraph"/>
              <w:rPr>
                <w:b/>
                <w:lang w:val="en-GB"/>
              </w:rPr>
            </w:pPr>
          </w:p>
          <w:p w14:paraId="418D72AD" w14:textId="1F2C289F" w:rsidR="0085405E" w:rsidRPr="003438D1" w:rsidRDefault="0085405E" w:rsidP="00E7626B">
            <w:pPr>
              <w:pStyle w:val="TableParagraph"/>
              <w:rPr>
                <w:bCs/>
                <w:lang w:val="en-GB"/>
              </w:rPr>
            </w:pPr>
            <w:r w:rsidRPr="003438D1">
              <w:rPr>
                <w:bCs/>
                <w:lang w:val="en-GB"/>
              </w:rPr>
              <w:t>R Gordon remarked that the absence of industrial action has helped to make negotiations more straightforward.</w:t>
            </w:r>
          </w:p>
          <w:p w14:paraId="16E76C73" w14:textId="77777777" w:rsidR="0085405E" w:rsidRPr="003438D1" w:rsidRDefault="0085405E" w:rsidP="00E7626B">
            <w:pPr>
              <w:pStyle w:val="TableParagraph"/>
              <w:rPr>
                <w:b/>
                <w:lang w:val="en-GB"/>
              </w:rPr>
            </w:pPr>
          </w:p>
          <w:p w14:paraId="6A753FAC" w14:textId="53295E60" w:rsidR="0085405E" w:rsidRPr="003438D1" w:rsidRDefault="0085405E" w:rsidP="00E7626B">
            <w:pPr>
              <w:pStyle w:val="TableParagraph"/>
              <w:rPr>
                <w:bCs/>
                <w:lang w:val="en-GB"/>
              </w:rPr>
            </w:pPr>
            <w:r w:rsidRPr="003438D1">
              <w:rPr>
                <w:bCs/>
                <w:lang w:val="en-GB"/>
              </w:rPr>
              <w:t xml:space="preserve">B Lawrie enquired whether the Scottish Government was considering longer-term funding arrangements. S Taylor </w:t>
            </w:r>
            <w:r w:rsidR="000A3022" w:rsidRPr="003438D1">
              <w:rPr>
                <w:bCs/>
                <w:lang w:val="en-GB"/>
              </w:rPr>
              <w:t xml:space="preserve">stated that this was not clear but </w:t>
            </w:r>
            <w:r w:rsidRPr="003438D1">
              <w:rPr>
                <w:bCs/>
                <w:lang w:val="en-GB"/>
              </w:rPr>
              <w:t xml:space="preserve">confirmed that there is recognition at government level of the </w:t>
            </w:r>
            <w:r w:rsidR="00AA5BA5" w:rsidRPr="003438D1">
              <w:rPr>
                <w:bCs/>
                <w:lang w:val="en-GB"/>
              </w:rPr>
              <w:t>importance of equity in arrangements between academic and support staff.</w:t>
            </w:r>
          </w:p>
          <w:p w14:paraId="52F8CC2E" w14:textId="77777777" w:rsidR="0085405E" w:rsidRPr="003438D1" w:rsidRDefault="0085405E" w:rsidP="00E7626B">
            <w:pPr>
              <w:pStyle w:val="TableParagraph"/>
              <w:rPr>
                <w:b/>
                <w:lang w:val="en-GB"/>
              </w:rPr>
            </w:pPr>
          </w:p>
          <w:p w14:paraId="556A6539" w14:textId="77777777" w:rsidR="0085405E" w:rsidRPr="003438D1" w:rsidRDefault="0085405E" w:rsidP="00E7626B">
            <w:pPr>
              <w:pStyle w:val="TableParagraph"/>
              <w:rPr>
                <w:bCs/>
                <w:lang w:val="en-GB"/>
              </w:rPr>
            </w:pPr>
            <w:r w:rsidRPr="003438D1">
              <w:rPr>
                <w:bCs/>
                <w:lang w:val="en-GB"/>
              </w:rPr>
              <w:t xml:space="preserve">Further updates were provided on employment conditions, including the resolution of issues related to COVID-19. COVID-19 is no longer treated differently from other illnesses with respect to sick pay, and relevant guidance has now been updated to reflect this change. </w:t>
            </w:r>
          </w:p>
          <w:p w14:paraId="1A2C4741" w14:textId="77777777" w:rsidR="0085405E" w:rsidRPr="003438D1" w:rsidRDefault="0085405E" w:rsidP="00E7626B">
            <w:pPr>
              <w:pStyle w:val="TableParagraph"/>
              <w:rPr>
                <w:bCs/>
                <w:lang w:val="en-GB"/>
              </w:rPr>
            </w:pPr>
          </w:p>
          <w:p w14:paraId="5A11AEAE" w14:textId="3899AB63" w:rsidR="0085405E" w:rsidRPr="003438D1" w:rsidRDefault="0085405E" w:rsidP="00E7626B">
            <w:pPr>
              <w:pStyle w:val="TableParagraph"/>
              <w:rPr>
                <w:bCs/>
                <w:lang w:val="en-GB"/>
              </w:rPr>
            </w:pPr>
            <w:r w:rsidRPr="003438D1">
              <w:rPr>
                <w:bCs/>
                <w:lang w:val="en-GB"/>
              </w:rPr>
              <w:t>S Taylor reported that the national discipline policy had been formally implemented</w:t>
            </w:r>
            <w:r w:rsidR="008E7B6F" w:rsidRPr="003438D1">
              <w:rPr>
                <w:bCs/>
                <w:lang w:val="en-GB"/>
              </w:rPr>
              <w:t>, with the People T</w:t>
            </w:r>
            <w:r w:rsidRPr="003438D1">
              <w:rPr>
                <w:bCs/>
                <w:lang w:val="en-GB"/>
              </w:rPr>
              <w:t xml:space="preserve">eam aligning and integrating the policy with the College’s internal </w:t>
            </w:r>
            <w:r w:rsidR="005C0496" w:rsidRPr="003438D1">
              <w:rPr>
                <w:bCs/>
                <w:lang w:val="en-GB"/>
              </w:rPr>
              <w:t>policy and procedure.</w:t>
            </w:r>
            <w:r w:rsidRPr="003438D1">
              <w:rPr>
                <w:bCs/>
                <w:lang w:val="en-GB"/>
              </w:rPr>
              <w:t xml:space="preserve"> S Taylor noted that </w:t>
            </w:r>
            <w:r w:rsidR="005C0496" w:rsidRPr="003438D1">
              <w:rPr>
                <w:bCs/>
                <w:lang w:val="en-GB"/>
              </w:rPr>
              <w:t>this would not result in any significant changes</w:t>
            </w:r>
            <w:r w:rsidRPr="003438D1">
              <w:rPr>
                <w:bCs/>
                <w:lang w:val="en-GB"/>
              </w:rPr>
              <w:t>.</w:t>
            </w:r>
          </w:p>
          <w:p w14:paraId="13B0847F" w14:textId="77777777" w:rsidR="0085405E" w:rsidRPr="003438D1" w:rsidRDefault="0085405E" w:rsidP="00E7626B">
            <w:pPr>
              <w:pStyle w:val="TableParagraph"/>
              <w:rPr>
                <w:b/>
                <w:lang w:val="en-GB"/>
              </w:rPr>
            </w:pPr>
          </w:p>
          <w:p w14:paraId="6D2F5797" w14:textId="372BF1DD" w:rsidR="0085405E" w:rsidRPr="003438D1" w:rsidRDefault="0085405E" w:rsidP="00E7626B">
            <w:pPr>
              <w:pStyle w:val="TableParagraph"/>
              <w:rPr>
                <w:bCs/>
                <w:lang w:val="en-GB"/>
              </w:rPr>
            </w:pPr>
            <w:r w:rsidRPr="003438D1">
              <w:rPr>
                <w:bCs/>
                <w:lang w:val="en-GB"/>
              </w:rPr>
              <w:t>S Taylor highlighted that developments within the Unison branch continue to progress</w:t>
            </w:r>
            <w:r w:rsidR="005C0496" w:rsidRPr="003438D1">
              <w:rPr>
                <w:bCs/>
                <w:lang w:val="en-GB"/>
              </w:rPr>
              <w:t xml:space="preserve">. </w:t>
            </w:r>
            <w:r w:rsidR="007E3551" w:rsidRPr="003438D1">
              <w:rPr>
                <w:bCs/>
                <w:lang w:val="en-GB"/>
              </w:rPr>
              <w:t>R Gordon summarised recent developments with regard to this.</w:t>
            </w:r>
          </w:p>
          <w:p w14:paraId="5AFC53EA" w14:textId="77777777" w:rsidR="0085405E" w:rsidRPr="003438D1" w:rsidRDefault="0085405E" w:rsidP="00E7626B">
            <w:pPr>
              <w:pStyle w:val="TableParagraph"/>
              <w:rPr>
                <w:b/>
                <w:lang w:val="en-GB"/>
              </w:rPr>
            </w:pPr>
          </w:p>
          <w:p w14:paraId="4A2BEB93" w14:textId="77777777" w:rsidR="00507FD3" w:rsidRPr="003438D1" w:rsidRDefault="00507FD3" w:rsidP="00E7626B">
            <w:pPr>
              <w:pStyle w:val="TableParagraph"/>
              <w:rPr>
                <w:b/>
                <w:lang w:val="en-GB"/>
              </w:rPr>
            </w:pPr>
          </w:p>
          <w:p w14:paraId="4C40202F" w14:textId="025D6469" w:rsidR="0085405E" w:rsidRPr="003438D1" w:rsidRDefault="0085405E" w:rsidP="00E7626B">
            <w:pPr>
              <w:pStyle w:val="TableParagraph"/>
              <w:rPr>
                <w:bCs/>
                <w:lang w:val="en-GB"/>
              </w:rPr>
            </w:pPr>
            <w:r w:rsidRPr="003438D1">
              <w:rPr>
                <w:bCs/>
                <w:lang w:val="en-GB"/>
              </w:rPr>
              <w:lastRenderedPageBreak/>
              <w:t>C Cusick welcomed the prospect of a three-year settlement, noting the potential for increased stability.</w:t>
            </w:r>
          </w:p>
          <w:p w14:paraId="3FB27820" w14:textId="77777777" w:rsidR="0085405E" w:rsidRPr="003438D1" w:rsidRDefault="0085405E" w:rsidP="00E7626B">
            <w:pPr>
              <w:pStyle w:val="TableParagraph"/>
              <w:rPr>
                <w:b/>
                <w:lang w:val="en-GB"/>
              </w:rPr>
            </w:pPr>
          </w:p>
          <w:p w14:paraId="7C5ED36C" w14:textId="071BB73B" w:rsidR="0085405E" w:rsidRPr="003438D1" w:rsidRDefault="0085405E" w:rsidP="00A41DEB">
            <w:pPr>
              <w:pStyle w:val="TableParagraph"/>
              <w:rPr>
                <w:b/>
                <w:lang w:val="en-GB"/>
              </w:rPr>
            </w:pPr>
            <w:r w:rsidRPr="003438D1">
              <w:rPr>
                <w:bCs/>
                <w:lang w:val="en-GB"/>
              </w:rPr>
              <w:t xml:space="preserve">The report was welcomed. </w:t>
            </w:r>
          </w:p>
          <w:p w14:paraId="48C00C11" w14:textId="77777777" w:rsidR="0085405E" w:rsidRPr="003438D1" w:rsidRDefault="0085405E" w:rsidP="00A41DEB">
            <w:pPr>
              <w:pStyle w:val="TableParagraph"/>
              <w:rPr>
                <w:b/>
                <w:lang w:val="en-GB"/>
              </w:rPr>
            </w:pPr>
          </w:p>
        </w:tc>
      </w:tr>
      <w:tr w:rsidR="0085405E" w:rsidRPr="003438D1" w14:paraId="2DFEDCF7" w14:textId="77777777" w:rsidTr="0085405E">
        <w:trPr>
          <w:trHeight w:val="505"/>
        </w:trPr>
        <w:tc>
          <w:tcPr>
            <w:tcW w:w="567" w:type="dxa"/>
          </w:tcPr>
          <w:p w14:paraId="1FF25A58" w14:textId="77777777" w:rsidR="0085405E" w:rsidRPr="003438D1" w:rsidRDefault="0085405E" w:rsidP="00636C70">
            <w:pPr>
              <w:pStyle w:val="TableParagraph"/>
              <w:numPr>
                <w:ilvl w:val="0"/>
                <w:numId w:val="1"/>
              </w:numPr>
              <w:ind w:left="0" w:firstLine="0"/>
              <w:jc w:val="center"/>
              <w:rPr>
                <w:b/>
                <w:lang w:val="en-GB"/>
              </w:rPr>
            </w:pPr>
          </w:p>
        </w:tc>
        <w:tc>
          <w:tcPr>
            <w:tcW w:w="9356" w:type="dxa"/>
          </w:tcPr>
          <w:p w14:paraId="5DCA1335" w14:textId="77777777" w:rsidR="0085405E" w:rsidRPr="003438D1" w:rsidRDefault="0085405E" w:rsidP="00A41DEB">
            <w:pPr>
              <w:pStyle w:val="TableParagraph"/>
              <w:rPr>
                <w:b/>
                <w:lang w:val="en-GB"/>
              </w:rPr>
            </w:pPr>
            <w:r w:rsidRPr="003438D1">
              <w:rPr>
                <w:b/>
                <w:lang w:val="en-GB"/>
              </w:rPr>
              <w:t>STRATEGIC RISK REGISTER</w:t>
            </w:r>
          </w:p>
          <w:p w14:paraId="09EE6332" w14:textId="77777777" w:rsidR="0085405E" w:rsidRPr="003438D1" w:rsidRDefault="0085405E" w:rsidP="00A41DEB">
            <w:pPr>
              <w:pStyle w:val="TableParagraph"/>
              <w:rPr>
                <w:b/>
                <w:lang w:val="en-GB"/>
              </w:rPr>
            </w:pPr>
          </w:p>
          <w:p w14:paraId="03ADF836" w14:textId="3118A970" w:rsidR="0085405E" w:rsidRPr="003438D1" w:rsidRDefault="0085405E" w:rsidP="00300D60">
            <w:pPr>
              <w:pStyle w:val="TableParagraph"/>
              <w:rPr>
                <w:bCs/>
                <w:lang w:val="en-GB"/>
              </w:rPr>
            </w:pPr>
            <w:r w:rsidRPr="003438D1">
              <w:rPr>
                <w:bCs/>
                <w:lang w:val="en-GB"/>
              </w:rPr>
              <w:t xml:space="preserve">S Taylor confirmed that no changes were proposed to the risks currently allocated to the Human Resources &amp; Development Committee. </w:t>
            </w:r>
          </w:p>
          <w:p w14:paraId="53C17CDB" w14:textId="77777777" w:rsidR="0085405E" w:rsidRPr="003438D1" w:rsidRDefault="0085405E" w:rsidP="00300D60">
            <w:pPr>
              <w:pStyle w:val="TableParagraph"/>
              <w:rPr>
                <w:bCs/>
                <w:lang w:val="en-GB"/>
              </w:rPr>
            </w:pPr>
          </w:p>
          <w:p w14:paraId="06F7645C" w14:textId="77777777" w:rsidR="00B80B36" w:rsidRPr="003438D1" w:rsidRDefault="0085405E" w:rsidP="00300D60">
            <w:pPr>
              <w:pStyle w:val="TableParagraph"/>
              <w:rPr>
                <w:bCs/>
                <w:lang w:val="en-GB"/>
              </w:rPr>
            </w:pPr>
            <w:r w:rsidRPr="003438D1">
              <w:rPr>
                <w:bCs/>
                <w:lang w:val="en-GB"/>
              </w:rPr>
              <w:t xml:space="preserve">B Lawrie queried whether ongoing reviews of areas such as the Gardyne Theatre, the swimming pool, and similar facilities were adequately reflected within the existing risk register. </w:t>
            </w:r>
          </w:p>
          <w:p w14:paraId="1D923ED9" w14:textId="77777777" w:rsidR="00B80B36" w:rsidRPr="003438D1" w:rsidRDefault="00B80B36" w:rsidP="00300D60">
            <w:pPr>
              <w:pStyle w:val="TableParagraph"/>
              <w:rPr>
                <w:bCs/>
                <w:lang w:val="en-GB"/>
              </w:rPr>
            </w:pPr>
          </w:p>
          <w:p w14:paraId="4417F30D" w14:textId="22705B18" w:rsidR="0085405E" w:rsidRPr="003438D1" w:rsidRDefault="0085405E" w:rsidP="00300D60">
            <w:pPr>
              <w:pStyle w:val="TableParagraph"/>
              <w:rPr>
                <w:bCs/>
                <w:lang w:val="en-GB"/>
              </w:rPr>
            </w:pPr>
            <w:r w:rsidRPr="003438D1">
              <w:rPr>
                <w:bCs/>
                <w:lang w:val="en-GB"/>
              </w:rPr>
              <w:t xml:space="preserve">He </w:t>
            </w:r>
            <w:r w:rsidR="00B80B36" w:rsidRPr="003438D1">
              <w:rPr>
                <w:bCs/>
                <w:lang w:val="en-GB"/>
              </w:rPr>
              <w:t>asked if these</w:t>
            </w:r>
            <w:r w:rsidRPr="003438D1">
              <w:rPr>
                <w:bCs/>
                <w:lang w:val="en-GB"/>
              </w:rPr>
              <w:t xml:space="preserve"> pressures were captured under the </w:t>
            </w:r>
            <w:r w:rsidR="00B80B36" w:rsidRPr="003438D1">
              <w:rPr>
                <w:bCs/>
                <w:lang w:val="en-GB"/>
              </w:rPr>
              <w:t>current</w:t>
            </w:r>
            <w:r w:rsidRPr="003438D1">
              <w:rPr>
                <w:bCs/>
                <w:lang w:val="en-GB"/>
              </w:rPr>
              <w:t xml:space="preserve"> risk categories or whether they should be more explicitly recognised.</w:t>
            </w:r>
          </w:p>
          <w:p w14:paraId="63F599EB" w14:textId="77777777" w:rsidR="0085405E" w:rsidRPr="003438D1" w:rsidRDefault="0085405E" w:rsidP="00300D60">
            <w:pPr>
              <w:pStyle w:val="TableParagraph"/>
              <w:rPr>
                <w:b/>
                <w:lang w:val="en-GB"/>
              </w:rPr>
            </w:pPr>
          </w:p>
          <w:p w14:paraId="65D425D8" w14:textId="139B83A2" w:rsidR="0085405E" w:rsidRPr="003438D1" w:rsidRDefault="0085405E" w:rsidP="00300D60">
            <w:pPr>
              <w:pStyle w:val="TableParagraph"/>
              <w:rPr>
                <w:bCs/>
                <w:lang w:val="en-GB"/>
              </w:rPr>
            </w:pPr>
            <w:r w:rsidRPr="003438D1">
              <w:rPr>
                <w:bCs/>
                <w:lang w:val="en-GB"/>
              </w:rPr>
              <w:t>In response, S Taylor noted that these issues are currently addressed under Risk 3.7, which relates to industrial relations and broader operational impacts on the College. He explained that these considerations underpin the College’s approach to mitigating such risks. The broader implications of these operational areas will continue to be monitored, and should they escalate, the associated risk rating would be reviewed and adjusted accordingly.</w:t>
            </w:r>
          </w:p>
          <w:p w14:paraId="17FCDC31" w14:textId="77777777" w:rsidR="0085405E" w:rsidRPr="003438D1" w:rsidRDefault="0085405E" w:rsidP="00300D60">
            <w:pPr>
              <w:pStyle w:val="TableParagraph"/>
              <w:rPr>
                <w:b/>
                <w:lang w:val="en-GB"/>
              </w:rPr>
            </w:pPr>
          </w:p>
          <w:p w14:paraId="16BCAD6F" w14:textId="1705BA98" w:rsidR="0085405E" w:rsidRPr="003438D1" w:rsidRDefault="0085405E" w:rsidP="00300D60">
            <w:pPr>
              <w:pStyle w:val="TableParagraph"/>
              <w:rPr>
                <w:bCs/>
                <w:lang w:val="en-GB"/>
              </w:rPr>
            </w:pPr>
            <w:r w:rsidRPr="003438D1">
              <w:rPr>
                <w:bCs/>
                <w:lang w:val="en-GB"/>
              </w:rPr>
              <w:t xml:space="preserve">S Taylor added that the </w:t>
            </w:r>
            <w:r w:rsidR="00B27069" w:rsidRPr="003438D1">
              <w:rPr>
                <w:bCs/>
                <w:lang w:val="en-GB"/>
              </w:rPr>
              <w:t xml:space="preserve">strategic </w:t>
            </w:r>
            <w:r w:rsidRPr="003438D1">
              <w:rPr>
                <w:bCs/>
                <w:lang w:val="en-GB"/>
              </w:rPr>
              <w:t xml:space="preserve">risk register is intended to reflect core institutional activities, including Finance and HR. Effective management of these areas inherently contributes to risk mitigation. He emphasised that if the College continues to operate in accordance with </w:t>
            </w:r>
            <w:r w:rsidR="00B27069" w:rsidRPr="003438D1">
              <w:rPr>
                <w:bCs/>
                <w:lang w:val="en-GB"/>
              </w:rPr>
              <w:t>good</w:t>
            </w:r>
            <w:r w:rsidRPr="003438D1">
              <w:rPr>
                <w:bCs/>
                <w:lang w:val="en-GB"/>
              </w:rPr>
              <w:t xml:space="preserve"> practice, risk levels are appropriately managed and adjusted as necessary. The risk framework is embedded within the College’s overall management processes.</w:t>
            </w:r>
          </w:p>
          <w:p w14:paraId="05A40CF2" w14:textId="77777777" w:rsidR="0085405E" w:rsidRPr="003438D1" w:rsidRDefault="0085405E" w:rsidP="00300D60">
            <w:pPr>
              <w:pStyle w:val="TableParagraph"/>
              <w:rPr>
                <w:bCs/>
                <w:lang w:val="en-GB"/>
              </w:rPr>
            </w:pPr>
          </w:p>
          <w:p w14:paraId="160A0C08" w14:textId="7BAE53D6" w:rsidR="0085405E" w:rsidRPr="003438D1" w:rsidRDefault="0085405E" w:rsidP="00A41DEB">
            <w:pPr>
              <w:pStyle w:val="TableParagraph"/>
              <w:rPr>
                <w:b/>
                <w:lang w:val="en-GB"/>
              </w:rPr>
            </w:pPr>
            <w:r w:rsidRPr="003438D1">
              <w:rPr>
                <w:bCs/>
                <w:lang w:val="en-GB"/>
              </w:rPr>
              <w:t>D Mackenzie thanked S Taylor for the update.</w:t>
            </w:r>
          </w:p>
          <w:p w14:paraId="2F80A974" w14:textId="77777777" w:rsidR="0085405E" w:rsidRPr="003438D1" w:rsidRDefault="0085405E" w:rsidP="00A41DEB">
            <w:pPr>
              <w:pStyle w:val="TableParagraph"/>
              <w:rPr>
                <w:b/>
                <w:lang w:val="en-GB"/>
              </w:rPr>
            </w:pPr>
          </w:p>
        </w:tc>
      </w:tr>
      <w:tr w:rsidR="0085405E" w:rsidRPr="003438D1" w14:paraId="77869D23" w14:textId="77777777" w:rsidTr="0085405E">
        <w:trPr>
          <w:trHeight w:val="506"/>
        </w:trPr>
        <w:tc>
          <w:tcPr>
            <w:tcW w:w="567" w:type="dxa"/>
          </w:tcPr>
          <w:p w14:paraId="256FCE4B" w14:textId="77777777" w:rsidR="0085405E" w:rsidRPr="003438D1" w:rsidRDefault="0085405E" w:rsidP="00636C70">
            <w:pPr>
              <w:pStyle w:val="TableParagraph"/>
              <w:numPr>
                <w:ilvl w:val="0"/>
                <w:numId w:val="1"/>
              </w:numPr>
              <w:ind w:left="0" w:firstLine="0"/>
              <w:jc w:val="center"/>
              <w:rPr>
                <w:b/>
                <w:lang w:val="en-GB"/>
              </w:rPr>
            </w:pPr>
          </w:p>
        </w:tc>
        <w:tc>
          <w:tcPr>
            <w:tcW w:w="9356" w:type="dxa"/>
          </w:tcPr>
          <w:p w14:paraId="2B6A8284" w14:textId="77777777" w:rsidR="0085405E" w:rsidRPr="003438D1" w:rsidRDefault="0085405E" w:rsidP="00A41DEB">
            <w:pPr>
              <w:pStyle w:val="TableParagraph"/>
              <w:rPr>
                <w:b/>
                <w:lang w:val="en-GB"/>
              </w:rPr>
            </w:pPr>
            <w:r w:rsidRPr="003438D1">
              <w:rPr>
                <w:b/>
                <w:lang w:val="en-GB"/>
              </w:rPr>
              <w:t>HR METRICS</w:t>
            </w:r>
          </w:p>
          <w:p w14:paraId="048B8C2A" w14:textId="77777777" w:rsidR="0085405E" w:rsidRPr="003438D1" w:rsidRDefault="0085405E" w:rsidP="00A41DEB">
            <w:pPr>
              <w:pStyle w:val="TableParagraph"/>
              <w:rPr>
                <w:b/>
                <w:lang w:val="en-GB"/>
              </w:rPr>
            </w:pPr>
          </w:p>
          <w:p w14:paraId="1C85A410" w14:textId="4A61D6C3" w:rsidR="0085405E" w:rsidRPr="003438D1" w:rsidRDefault="0085405E" w:rsidP="00FE408E">
            <w:pPr>
              <w:pStyle w:val="TableParagraph"/>
              <w:rPr>
                <w:bCs/>
                <w:lang w:val="en-GB"/>
              </w:rPr>
            </w:pPr>
            <w:r w:rsidRPr="003438D1">
              <w:rPr>
                <w:bCs/>
                <w:lang w:val="en-GB"/>
              </w:rPr>
              <w:t>S Taylor confirmed that the correct figure for the gender pay gap is 6.5% and noted it should be reflected accordingly.</w:t>
            </w:r>
          </w:p>
          <w:p w14:paraId="5205AC60" w14:textId="77777777" w:rsidR="0085405E" w:rsidRPr="003438D1" w:rsidRDefault="0085405E" w:rsidP="00FE408E">
            <w:pPr>
              <w:pStyle w:val="TableParagraph"/>
              <w:rPr>
                <w:b/>
                <w:lang w:val="en-GB"/>
              </w:rPr>
            </w:pPr>
          </w:p>
          <w:p w14:paraId="1D144A77" w14:textId="27244D20" w:rsidR="0085405E" w:rsidRPr="003438D1" w:rsidRDefault="0085405E" w:rsidP="00FE408E">
            <w:pPr>
              <w:pStyle w:val="TableParagraph"/>
              <w:rPr>
                <w:b/>
                <w:lang w:val="en-GB"/>
              </w:rPr>
            </w:pPr>
            <w:r w:rsidRPr="003438D1">
              <w:rPr>
                <w:bCs/>
                <w:lang w:val="en-GB"/>
              </w:rPr>
              <w:t xml:space="preserve">C Cusick raised concerns regarding low staff uptake in mandatory training areas, specifically cyber security and GDPR training. A Mawhirt explained that the training cycle resets each year, with figures reflecting completion by the end of the academic year. The training operates on a </w:t>
            </w:r>
            <w:r w:rsidR="00E54B5D" w:rsidRPr="003438D1">
              <w:rPr>
                <w:bCs/>
                <w:lang w:val="en-GB"/>
              </w:rPr>
              <w:t>three</w:t>
            </w:r>
            <w:r w:rsidRPr="003438D1">
              <w:rPr>
                <w:bCs/>
                <w:lang w:val="en-GB"/>
              </w:rPr>
              <w:t>-year cycle, during which all staff are expected to complete the required modules. A</w:t>
            </w:r>
            <w:r w:rsidR="00E54B5D" w:rsidRPr="003438D1">
              <w:rPr>
                <w:bCs/>
                <w:lang w:val="en-GB"/>
              </w:rPr>
              <w:t> </w:t>
            </w:r>
            <w:r w:rsidRPr="003438D1">
              <w:rPr>
                <w:bCs/>
                <w:lang w:val="en-GB"/>
              </w:rPr>
              <w:t>Mawhirt added that ongoing reminders to staff are in place to encourage compliance.</w:t>
            </w:r>
          </w:p>
          <w:p w14:paraId="77884B2E" w14:textId="77777777" w:rsidR="0085405E" w:rsidRPr="003438D1" w:rsidRDefault="0085405E" w:rsidP="00FE408E">
            <w:pPr>
              <w:pStyle w:val="TableParagraph"/>
              <w:rPr>
                <w:b/>
                <w:lang w:val="en-GB"/>
              </w:rPr>
            </w:pPr>
          </w:p>
          <w:p w14:paraId="2E797366" w14:textId="0E580914" w:rsidR="0085405E" w:rsidRPr="003438D1" w:rsidRDefault="0085405E" w:rsidP="00FE408E">
            <w:pPr>
              <w:pStyle w:val="TableParagraph"/>
              <w:rPr>
                <w:bCs/>
                <w:lang w:val="en-GB"/>
              </w:rPr>
            </w:pPr>
            <w:r w:rsidRPr="003438D1">
              <w:rPr>
                <w:bCs/>
                <w:lang w:val="en-GB"/>
              </w:rPr>
              <w:t>R Gordon elaborated on initiatives being taken to raise awareness and improve training engagement, including cyber-attack simulation training and awareness campaigns targeting students. He highlighted the importance of smaller improvements in combatting growing cyber threats. R Gordon also highlighted that the College holds Cyber Essentials accreditation and is currently undergoing re-accreditation. Mandatory external training is assigned to individuals who fall victim to simulated cyber-attacks, helping to reinforce understanding of emerging threats.</w:t>
            </w:r>
          </w:p>
          <w:p w14:paraId="6AB2DB6B" w14:textId="77777777" w:rsidR="0085405E" w:rsidRPr="003438D1" w:rsidRDefault="0085405E" w:rsidP="00FE408E">
            <w:pPr>
              <w:pStyle w:val="TableParagraph"/>
              <w:rPr>
                <w:b/>
                <w:lang w:val="en-GB"/>
              </w:rPr>
            </w:pPr>
          </w:p>
          <w:p w14:paraId="044CE46E" w14:textId="14A6E78A" w:rsidR="0085405E" w:rsidRPr="003438D1" w:rsidRDefault="0085405E" w:rsidP="00FE408E">
            <w:pPr>
              <w:pStyle w:val="TableParagraph"/>
              <w:rPr>
                <w:bCs/>
                <w:lang w:val="en-GB"/>
              </w:rPr>
            </w:pPr>
            <w:r w:rsidRPr="003438D1">
              <w:rPr>
                <w:b/>
                <w:lang w:val="en-GB"/>
              </w:rPr>
              <w:t>I</w:t>
            </w:r>
            <w:r w:rsidRPr="003438D1">
              <w:rPr>
                <w:bCs/>
                <w:lang w:val="en-GB"/>
              </w:rPr>
              <w:t>n response to a question from D Mackenzie on the timeline for achieving satisfactory uptake, it was confirmed that the current cycle runs to the end of the academic year. Reports are shared with managers and the Senior Leadership Team (SLT) to ensure prioritisation within staff teams, with follow-up measures in place.</w:t>
            </w:r>
          </w:p>
          <w:p w14:paraId="5D7BC646" w14:textId="77777777" w:rsidR="0085405E" w:rsidRPr="003438D1" w:rsidRDefault="0085405E" w:rsidP="00FE408E">
            <w:pPr>
              <w:pStyle w:val="TableParagraph"/>
              <w:rPr>
                <w:b/>
                <w:lang w:val="en-GB"/>
              </w:rPr>
            </w:pPr>
          </w:p>
          <w:p w14:paraId="5DD117F2" w14:textId="77777777" w:rsidR="00DE7818" w:rsidRPr="003438D1" w:rsidRDefault="00DE7818" w:rsidP="00FE408E">
            <w:pPr>
              <w:pStyle w:val="TableParagraph"/>
              <w:rPr>
                <w:bCs/>
                <w:lang w:val="en-GB"/>
              </w:rPr>
            </w:pPr>
          </w:p>
          <w:p w14:paraId="76F6AFF6" w14:textId="77777777" w:rsidR="00DE7818" w:rsidRPr="003438D1" w:rsidRDefault="00DE7818" w:rsidP="00FE408E">
            <w:pPr>
              <w:pStyle w:val="TableParagraph"/>
              <w:rPr>
                <w:bCs/>
                <w:lang w:val="en-GB"/>
              </w:rPr>
            </w:pPr>
          </w:p>
          <w:p w14:paraId="7BD378A4" w14:textId="77777777" w:rsidR="00DE7818" w:rsidRPr="003438D1" w:rsidRDefault="00DE7818" w:rsidP="00FE408E">
            <w:pPr>
              <w:pStyle w:val="TableParagraph"/>
              <w:rPr>
                <w:bCs/>
                <w:lang w:val="en-GB"/>
              </w:rPr>
            </w:pPr>
          </w:p>
          <w:p w14:paraId="6B80F232" w14:textId="77777777" w:rsidR="00DE7818" w:rsidRPr="003438D1" w:rsidRDefault="00DE7818" w:rsidP="00FE408E">
            <w:pPr>
              <w:pStyle w:val="TableParagraph"/>
              <w:rPr>
                <w:bCs/>
                <w:lang w:val="en-GB"/>
              </w:rPr>
            </w:pPr>
          </w:p>
          <w:p w14:paraId="14E3F14F" w14:textId="7AC826AF" w:rsidR="0085405E" w:rsidRPr="003438D1" w:rsidRDefault="0085405E" w:rsidP="00FE408E">
            <w:pPr>
              <w:pStyle w:val="TableParagraph"/>
              <w:rPr>
                <w:bCs/>
                <w:lang w:val="en-GB"/>
              </w:rPr>
            </w:pPr>
            <w:r w:rsidRPr="003438D1">
              <w:rPr>
                <w:bCs/>
                <w:lang w:val="en-GB"/>
              </w:rPr>
              <w:lastRenderedPageBreak/>
              <w:t xml:space="preserve">C Cusick enquired whether mandatory training was extended to Board members. R Gordon confirmed that it </w:t>
            </w:r>
            <w:r w:rsidR="00A1165F" w:rsidRPr="003438D1">
              <w:rPr>
                <w:bCs/>
                <w:lang w:val="en-GB"/>
              </w:rPr>
              <w:t>could be</w:t>
            </w:r>
            <w:r w:rsidR="009E7FA4" w:rsidRPr="003438D1">
              <w:rPr>
                <w:bCs/>
                <w:lang w:val="en-GB"/>
              </w:rPr>
              <w:t xml:space="preserve"> but</w:t>
            </w:r>
            <w:r w:rsidRPr="003438D1">
              <w:rPr>
                <w:bCs/>
                <w:lang w:val="en-GB"/>
              </w:rPr>
              <w:t xml:space="preserve"> noted licensing constraints may apply. He added that attention is also being paid to smaller email addresses and address books linked to the College, particularly in cases where local users lack dedicated technical support. Efforts continue to promote general awareness across all groups.</w:t>
            </w:r>
          </w:p>
          <w:p w14:paraId="1173836A" w14:textId="77777777" w:rsidR="0085405E" w:rsidRPr="003438D1" w:rsidRDefault="0085405E" w:rsidP="00FE408E">
            <w:pPr>
              <w:pStyle w:val="TableParagraph"/>
              <w:rPr>
                <w:b/>
                <w:lang w:val="en-GB"/>
              </w:rPr>
            </w:pPr>
          </w:p>
          <w:p w14:paraId="07AD10A9" w14:textId="6D8FA320" w:rsidR="0085405E" w:rsidRPr="003438D1" w:rsidRDefault="0085405E" w:rsidP="00FE408E">
            <w:pPr>
              <w:pStyle w:val="TableParagraph"/>
              <w:rPr>
                <w:bCs/>
                <w:lang w:val="en-GB"/>
              </w:rPr>
            </w:pPr>
            <w:r w:rsidRPr="003438D1">
              <w:rPr>
                <w:bCs/>
                <w:lang w:val="en-GB"/>
              </w:rPr>
              <w:t>B Lawrie referred to the data presented on the report, questioning the relevance of current positions and headcount figures, and suggesting a system tidy-up may be needed.</w:t>
            </w:r>
          </w:p>
          <w:p w14:paraId="1FFCA700" w14:textId="77777777" w:rsidR="0085405E" w:rsidRPr="003438D1" w:rsidRDefault="0085405E" w:rsidP="00FE408E">
            <w:pPr>
              <w:pStyle w:val="TableParagraph"/>
              <w:rPr>
                <w:b/>
                <w:lang w:val="en-GB"/>
              </w:rPr>
            </w:pPr>
          </w:p>
          <w:p w14:paraId="1564D646" w14:textId="116FF688" w:rsidR="0085405E" w:rsidRPr="003438D1" w:rsidRDefault="0085405E" w:rsidP="00FE408E">
            <w:pPr>
              <w:pStyle w:val="TableParagraph"/>
              <w:rPr>
                <w:bCs/>
                <w:lang w:val="en-GB"/>
              </w:rPr>
            </w:pPr>
            <w:r w:rsidRPr="003438D1">
              <w:rPr>
                <w:bCs/>
                <w:lang w:val="en-GB"/>
              </w:rPr>
              <w:t>S Taylor explained that the recent rapid improvement event highlighted issues related to the issuing of separate contracts for different pieces of work. This mean</w:t>
            </w:r>
            <w:r w:rsidR="009E7FA4" w:rsidRPr="003438D1">
              <w:rPr>
                <w:bCs/>
                <w:lang w:val="en-GB"/>
              </w:rPr>
              <w:t>t</w:t>
            </w:r>
            <w:r w:rsidRPr="003438D1">
              <w:rPr>
                <w:bCs/>
                <w:lang w:val="en-GB"/>
              </w:rPr>
              <w:t xml:space="preserve"> that headcount figures may appear lower than the number of </w:t>
            </w:r>
            <w:r w:rsidR="00E9612D" w:rsidRPr="003438D1">
              <w:rPr>
                <w:bCs/>
                <w:lang w:val="en-GB"/>
              </w:rPr>
              <w:t xml:space="preserve">‘open’ </w:t>
            </w:r>
            <w:r w:rsidRPr="003438D1">
              <w:rPr>
                <w:bCs/>
                <w:lang w:val="en-GB"/>
              </w:rPr>
              <w:t>positions, as one staff member may hold multiple positions. For example, a staff member might deliver only a portion of a unit during one semester. Variability in staffing is also influenced by factors such as student numbers and absence cover. Consequently, while there may be multiple positions, fewer individuals may be delivering them, or vice versa. FTEs may reflect either four or five individuals delivering work, or just one, depending on the allocation.</w:t>
            </w:r>
          </w:p>
          <w:p w14:paraId="6C88A0CB" w14:textId="77777777" w:rsidR="0085405E" w:rsidRPr="003438D1" w:rsidRDefault="0085405E" w:rsidP="00FE408E">
            <w:pPr>
              <w:pStyle w:val="TableParagraph"/>
              <w:rPr>
                <w:b/>
                <w:lang w:val="en-GB"/>
              </w:rPr>
            </w:pPr>
          </w:p>
          <w:p w14:paraId="587CFBB8" w14:textId="6ABFEB9A" w:rsidR="0085405E" w:rsidRPr="003438D1" w:rsidRDefault="0085405E" w:rsidP="00FE408E">
            <w:pPr>
              <w:pStyle w:val="TableParagraph"/>
              <w:rPr>
                <w:bCs/>
                <w:lang w:val="en-GB"/>
              </w:rPr>
            </w:pPr>
            <w:r w:rsidRPr="003438D1">
              <w:rPr>
                <w:bCs/>
                <w:lang w:val="en-GB"/>
              </w:rPr>
              <w:t>B Lawrie also queried the reporting of non-work-related stress and questioned whether the figure in column three of item number 3 should be updated to reflect the 2023/24 academic year. S Taylor thanked B Lawrie and will update the year accordingly.</w:t>
            </w:r>
          </w:p>
          <w:p w14:paraId="58032BDD" w14:textId="77777777" w:rsidR="0085405E" w:rsidRPr="003438D1" w:rsidRDefault="0085405E" w:rsidP="00A41DEB">
            <w:pPr>
              <w:pStyle w:val="TableParagraph"/>
              <w:rPr>
                <w:b/>
                <w:lang w:val="en-GB"/>
              </w:rPr>
            </w:pPr>
          </w:p>
          <w:p w14:paraId="2394612F" w14:textId="234A0E7D" w:rsidR="0085405E" w:rsidRPr="003438D1" w:rsidRDefault="0085405E" w:rsidP="00A41DEB">
            <w:pPr>
              <w:pStyle w:val="TableParagraph"/>
              <w:rPr>
                <w:bCs/>
                <w:lang w:val="en-GB"/>
              </w:rPr>
            </w:pPr>
            <w:r w:rsidRPr="003438D1">
              <w:rPr>
                <w:bCs/>
                <w:lang w:val="en-GB"/>
              </w:rPr>
              <w:t xml:space="preserve">The report was welcomed. </w:t>
            </w:r>
          </w:p>
          <w:p w14:paraId="4D49CF90" w14:textId="77777777" w:rsidR="0085405E" w:rsidRPr="003438D1" w:rsidRDefault="0085405E" w:rsidP="00A41DEB">
            <w:pPr>
              <w:pStyle w:val="TableParagraph"/>
              <w:rPr>
                <w:b/>
                <w:lang w:val="en-GB"/>
              </w:rPr>
            </w:pPr>
          </w:p>
        </w:tc>
      </w:tr>
      <w:tr w:rsidR="0085405E" w:rsidRPr="003438D1" w14:paraId="2197D6AD" w14:textId="77777777" w:rsidTr="0085405E">
        <w:trPr>
          <w:trHeight w:val="506"/>
        </w:trPr>
        <w:tc>
          <w:tcPr>
            <w:tcW w:w="567" w:type="dxa"/>
          </w:tcPr>
          <w:p w14:paraId="02474047" w14:textId="77777777" w:rsidR="0085405E" w:rsidRPr="003438D1" w:rsidRDefault="0085405E" w:rsidP="00636C70">
            <w:pPr>
              <w:pStyle w:val="TableParagraph"/>
              <w:numPr>
                <w:ilvl w:val="0"/>
                <w:numId w:val="1"/>
              </w:numPr>
              <w:ind w:left="0" w:firstLine="0"/>
              <w:jc w:val="center"/>
              <w:rPr>
                <w:b/>
                <w:lang w:val="en-GB"/>
              </w:rPr>
            </w:pPr>
          </w:p>
        </w:tc>
        <w:tc>
          <w:tcPr>
            <w:tcW w:w="9356" w:type="dxa"/>
          </w:tcPr>
          <w:p w14:paraId="286FE291" w14:textId="77777777" w:rsidR="0085405E" w:rsidRPr="003438D1" w:rsidRDefault="0085405E" w:rsidP="00E34607">
            <w:pPr>
              <w:pStyle w:val="TableParagraph"/>
              <w:ind w:left="61"/>
              <w:rPr>
                <w:lang w:val="en-GB"/>
              </w:rPr>
            </w:pPr>
            <w:r w:rsidRPr="003438D1">
              <w:rPr>
                <w:b/>
                <w:lang w:val="en-GB"/>
              </w:rPr>
              <w:t>MEETING MINUTES/UPDATES</w:t>
            </w:r>
          </w:p>
          <w:p w14:paraId="0E8C0473" w14:textId="77777777" w:rsidR="0085405E" w:rsidRPr="003438D1" w:rsidRDefault="0085405E" w:rsidP="00E34607">
            <w:pPr>
              <w:pStyle w:val="TableParagraph"/>
              <w:ind w:left="61"/>
              <w:rPr>
                <w:lang w:val="en-GB"/>
              </w:rPr>
            </w:pPr>
          </w:p>
          <w:p w14:paraId="02E1A5C6" w14:textId="77777777" w:rsidR="0085405E" w:rsidRPr="003438D1" w:rsidRDefault="0085405E" w:rsidP="00E34607">
            <w:pPr>
              <w:pStyle w:val="TableParagraph"/>
              <w:tabs>
                <w:tab w:val="left" w:pos="508"/>
              </w:tabs>
              <w:rPr>
                <w:lang w:val="en-GB"/>
              </w:rPr>
            </w:pPr>
            <w:r w:rsidRPr="003438D1">
              <w:rPr>
                <w:lang w:val="en-GB"/>
              </w:rPr>
              <w:t xml:space="preserve">The Joint Consultative Committee (JCF) and Health, Safety and Wellbeing (HS&amp;W) minutes were noted. </w:t>
            </w:r>
          </w:p>
          <w:p w14:paraId="4453106A" w14:textId="770F5BE3" w:rsidR="0085405E" w:rsidRPr="003438D1" w:rsidRDefault="0085405E" w:rsidP="00E34607">
            <w:pPr>
              <w:pStyle w:val="TableParagraph"/>
              <w:ind w:left="61"/>
              <w:rPr>
                <w:b/>
                <w:lang w:val="en-GB"/>
              </w:rPr>
            </w:pPr>
          </w:p>
        </w:tc>
      </w:tr>
      <w:tr w:rsidR="00E9612D" w:rsidRPr="003438D1" w14:paraId="0C350871" w14:textId="77777777" w:rsidTr="0085405E">
        <w:trPr>
          <w:trHeight w:val="506"/>
        </w:trPr>
        <w:tc>
          <w:tcPr>
            <w:tcW w:w="567" w:type="dxa"/>
          </w:tcPr>
          <w:p w14:paraId="4FDAE5E1" w14:textId="77777777" w:rsidR="00E9612D" w:rsidRPr="003438D1" w:rsidRDefault="00E9612D" w:rsidP="00636C70">
            <w:pPr>
              <w:pStyle w:val="TableParagraph"/>
              <w:numPr>
                <w:ilvl w:val="0"/>
                <w:numId w:val="1"/>
              </w:numPr>
              <w:ind w:left="0" w:firstLine="0"/>
              <w:jc w:val="center"/>
              <w:rPr>
                <w:b/>
                <w:lang w:val="en-GB"/>
              </w:rPr>
            </w:pPr>
          </w:p>
        </w:tc>
        <w:tc>
          <w:tcPr>
            <w:tcW w:w="9356" w:type="dxa"/>
          </w:tcPr>
          <w:p w14:paraId="079A4842" w14:textId="77777777" w:rsidR="00E9612D" w:rsidRPr="003438D1" w:rsidRDefault="00755C5E" w:rsidP="00E34607">
            <w:pPr>
              <w:pStyle w:val="TableParagraph"/>
              <w:ind w:left="61"/>
              <w:rPr>
                <w:b/>
                <w:lang w:val="en-GB"/>
              </w:rPr>
            </w:pPr>
            <w:r w:rsidRPr="003438D1">
              <w:rPr>
                <w:b/>
                <w:lang w:val="en-GB"/>
              </w:rPr>
              <w:t>DATE OF NEXT MEETING</w:t>
            </w:r>
          </w:p>
          <w:p w14:paraId="63650021" w14:textId="77777777" w:rsidR="00755C5E" w:rsidRPr="003438D1" w:rsidRDefault="00755C5E" w:rsidP="00E34607">
            <w:pPr>
              <w:pStyle w:val="TableParagraph"/>
              <w:ind w:left="61"/>
              <w:rPr>
                <w:b/>
                <w:lang w:val="en-GB"/>
              </w:rPr>
            </w:pPr>
          </w:p>
          <w:p w14:paraId="1BB1B9E3" w14:textId="5825BED7" w:rsidR="00755C5E" w:rsidRPr="003438D1" w:rsidRDefault="00CF7F26" w:rsidP="00CF7F26">
            <w:pPr>
              <w:pStyle w:val="TableParagraph"/>
              <w:rPr>
                <w:bCs/>
                <w:lang w:val="en-GB"/>
              </w:rPr>
            </w:pPr>
            <w:r w:rsidRPr="003438D1">
              <w:rPr>
                <w:lang w:val="en-GB"/>
              </w:rPr>
              <w:t>Thursday 4 September 2025 at 5.00pm in Room K- TO- 624, Kingsway Campus</w:t>
            </w:r>
          </w:p>
        </w:tc>
      </w:tr>
    </w:tbl>
    <w:p w14:paraId="11B3BB7F" w14:textId="77777777" w:rsidR="00636C70" w:rsidRDefault="00636C70" w:rsidP="00636C70"/>
    <w:tbl>
      <w:tblPr>
        <w:tblpPr w:leftFromText="180" w:rightFromText="180" w:vertAnchor="text" w:tblpY="11"/>
        <w:tblW w:w="9923" w:type="dxa"/>
        <w:tblLayout w:type="fixed"/>
        <w:tblCellMar>
          <w:left w:w="0" w:type="dxa"/>
          <w:right w:w="0" w:type="dxa"/>
        </w:tblCellMar>
        <w:tblLook w:val="01E0" w:firstRow="1" w:lastRow="1" w:firstColumn="1" w:lastColumn="1" w:noHBand="0" w:noVBand="0"/>
      </w:tblPr>
      <w:tblGrid>
        <w:gridCol w:w="5954"/>
        <w:gridCol w:w="1843"/>
        <w:gridCol w:w="2126"/>
      </w:tblGrid>
      <w:tr w:rsidR="00AA5D92" w:rsidRPr="00D43501" w14:paraId="3D8AE05A" w14:textId="77777777" w:rsidTr="00AA5D92">
        <w:trPr>
          <w:trHeight w:val="310"/>
        </w:trPr>
        <w:tc>
          <w:tcPr>
            <w:tcW w:w="5954" w:type="dxa"/>
          </w:tcPr>
          <w:p w14:paraId="59B8D9B7" w14:textId="77777777" w:rsidR="00AA5D92" w:rsidRPr="00D43501" w:rsidRDefault="00AA5D92" w:rsidP="00A40F2E">
            <w:pPr>
              <w:pStyle w:val="TableParagraph"/>
              <w:rPr>
                <w:b/>
                <w:lang w:val="en-GB"/>
              </w:rPr>
            </w:pPr>
            <w:r w:rsidRPr="00D43501">
              <w:rPr>
                <w:b/>
                <w:u w:val="thick"/>
                <w:lang w:val="en-GB"/>
              </w:rPr>
              <w:t>Action Point Summary</w:t>
            </w:r>
          </w:p>
        </w:tc>
        <w:tc>
          <w:tcPr>
            <w:tcW w:w="1843" w:type="dxa"/>
          </w:tcPr>
          <w:p w14:paraId="23851F5E" w14:textId="77777777" w:rsidR="00AA5D92" w:rsidRPr="00D43501" w:rsidRDefault="00AA5D92" w:rsidP="00A40F2E">
            <w:pPr>
              <w:pStyle w:val="TableParagraph"/>
              <w:rPr>
                <w:rFonts w:ascii="Times New Roman"/>
                <w:lang w:val="en-GB"/>
              </w:rPr>
            </w:pPr>
          </w:p>
        </w:tc>
        <w:tc>
          <w:tcPr>
            <w:tcW w:w="2126" w:type="dxa"/>
          </w:tcPr>
          <w:p w14:paraId="4511237A" w14:textId="77777777" w:rsidR="00AA5D92" w:rsidRPr="00D43501" w:rsidRDefault="00AA5D92" w:rsidP="00A40F2E">
            <w:pPr>
              <w:pStyle w:val="TableParagraph"/>
              <w:rPr>
                <w:rFonts w:ascii="Times New Roman"/>
                <w:lang w:val="en-GB"/>
              </w:rPr>
            </w:pPr>
          </w:p>
        </w:tc>
      </w:tr>
      <w:tr w:rsidR="00AA5D92" w:rsidRPr="00D43501" w14:paraId="49FFDB98" w14:textId="77777777" w:rsidTr="00AA5D92">
        <w:trPr>
          <w:trHeight w:val="374"/>
        </w:trPr>
        <w:tc>
          <w:tcPr>
            <w:tcW w:w="5954" w:type="dxa"/>
          </w:tcPr>
          <w:p w14:paraId="13CDBF27" w14:textId="77777777" w:rsidR="00AA5D92" w:rsidRPr="00D43501" w:rsidRDefault="00AA5D92" w:rsidP="00A40F2E">
            <w:pPr>
              <w:pStyle w:val="TableParagraph"/>
              <w:jc w:val="center"/>
              <w:rPr>
                <w:b/>
                <w:lang w:val="en-GB"/>
              </w:rPr>
            </w:pPr>
            <w:r w:rsidRPr="00D43501">
              <w:rPr>
                <w:b/>
                <w:lang w:val="en-GB"/>
              </w:rPr>
              <w:t>Action</w:t>
            </w:r>
          </w:p>
        </w:tc>
        <w:tc>
          <w:tcPr>
            <w:tcW w:w="1843" w:type="dxa"/>
          </w:tcPr>
          <w:p w14:paraId="572B0891" w14:textId="77777777" w:rsidR="00AA5D92" w:rsidRPr="00D43501" w:rsidRDefault="00AA5D92" w:rsidP="00A40F2E">
            <w:pPr>
              <w:pStyle w:val="TableParagraph"/>
              <w:jc w:val="center"/>
              <w:rPr>
                <w:b/>
                <w:lang w:val="en-GB"/>
              </w:rPr>
            </w:pPr>
            <w:r w:rsidRPr="00D43501">
              <w:rPr>
                <w:b/>
                <w:lang w:val="en-GB"/>
              </w:rPr>
              <w:t>Responsibility</w:t>
            </w:r>
          </w:p>
        </w:tc>
        <w:tc>
          <w:tcPr>
            <w:tcW w:w="2126" w:type="dxa"/>
          </w:tcPr>
          <w:p w14:paraId="28F494DE" w14:textId="77777777" w:rsidR="00AA5D92" w:rsidRPr="00D43501" w:rsidRDefault="00AA5D92" w:rsidP="00A40F2E">
            <w:pPr>
              <w:pStyle w:val="TableParagraph"/>
              <w:jc w:val="center"/>
              <w:rPr>
                <w:b/>
                <w:lang w:val="en-GB"/>
              </w:rPr>
            </w:pPr>
            <w:r w:rsidRPr="00D43501">
              <w:rPr>
                <w:b/>
                <w:lang w:val="en-GB"/>
              </w:rPr>
              <w:t>Date</w:t>
            </w:r>
          </w:p>
        </w:tc>
      </w:tr>
      <w:tr w:rsidR="00AA5D92" w:rsidRPr="00D43501" w14:paraId="62B1FBAB" w14:textId="77777777" w:rsidTr="00AA5D92">
        <w:trPr>
          <w:trHeight w:val="374"/>
        </w:trPr>
        <w:tc>
          <w:tcPr>
            <w:tcW w:w="5954" w:type="dxa"/>
          </w:tcPr>
          <w:p w14:paraId="779832FA" w14:textId="77777777" w:rsidR="00AA5D92" w:rsidRPr="00592F9F" w:rsidRDefault="00AA5D92" w:rsidP="00A40F2E">
            <w:pPr>
              <w:pStyle w:val="TableParagraph"/>
              <w:rPr>
                <w:bCs/>
                <w:lang w:val="en-GB"/>
              </w:rPr>
            </w:pPr>
            <w:r>
              <w:rPr>
                <w:bCs/>
                <w:lang w:val="en-GB"/>
              </w:rPr>
              <w:t xml:space="preserve">   No action points were noted</w:t>
            </w:r>
          </w:p>
        </w:tc>
        <w:tc>
          <w:tcPr>
            <w:tcW w:w="1843" w:type="dxa"/>
          </w:tcPr>
          <w:p w14:paraId="24E89C14" w14:textId="77777777" w:rsidR="00AA5D92" w:rsidRPr="00592F9F" w:rsidRDefault="00AA5D92" w:rsidP="00A40F2E">
            <w:pPr>
              <w:pStyle w:val="TableParagraph"/>
              <w:rPr>
                <w:bCs/>
                <w:lang w:val="en-GB"/>
              </w:rPr>
            </w:pPr>
          </w:p>
        </w:tc>
        <w:tc>
          <w:tcPr>
            <w:tcW w:w="2126" w:type="dxa"/>
          </w:tcPr>
          <w:p w14:paraId="0AB87D77" w14:textId="77777777" w:rsidR="00AA5D92" w:rsidRPr="00592F9F" w:rsidRDefault="00AA5D92" w:rsidP="00A40F2E">
            <w:pPr>
              <w:pStyle w:val="TableParagraph"/>
              <w:jc w:val="center"/>
              <w:rPr>
                <w:bCs/>
                <w:lang w:val="en-GB"/>
              </w:rPr>
            </w:pPr>
          </w:p>
        </w:tc>
      </w:tr>
    </w:tbl>
    <w:p w14:paraId="4845F53E" w14:textId="77777777" w:rsidR="00ED7A2C" w:rsidRDefault="00ED7A2C"/>
    <w:sectPr w:rsidR="00ED7A2C" w:rsidSect="00755C5E">
      <w:footerReference w:type="default" r:id="rId11"/>
      <w:pgSz w:w="11910" w:h="16840"/>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A9554D" w14:textId="77777777" w:rsidR="004418FA" w:rsidRDefault="004418FA" w:rsidP="00B91DE8">
      <w:r>
        <w:separator/>
      </w:r>
    </w:p>
  </w:endnote>
  <w:endnote w:type="continuationSeparator" w:id="0">
    <w:p w14:paraId="4193B889" w14:textId="77777777" w:rsidR="004418FA" w:rsidRDefault="004418FA" w:rsidP="00B91D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szCs w:val="20"/>
      </w:rPr>
      <w:id w:val="494933025"/>
      <w:docPartObj>
        <w:docPartGallery w:val="Page Numbers (Bottom of Page)"/>
        <w:docPartUnique/>
      </w:docPartObj>
    </w:sdtPr>
    <w:sdtEndPr/>
    <w:sdtContent>
      <w:sdt>
        <w:sdtPr>
          <w:rPr>
            <w:sz w:val="20"/>
            <w:szCs w:val="20"/>
          </w:rPr>
          <w:id w:val="-1769616900"/>
          <w:docPartObj>
            <w:docPartGallery w:val="Page Numbers (Top of Page)"/>
            <w:docPartUnique/>
          </w:docPartObj>
        </w:sdtPr>
        <w:sdtEndPr/>
        <w:sdtContent>
          <w:p w14:paraId="0E948F84" w14:textId="3A84ABD3" w:rsidR="00B91DE8" w:rsidRPr="00B91DE8" w:rsidRDefault="00B91DE8">
            <w:pPr>
              <w:pStyle w:val="Footer"/>
              <w:jc w:val="right"/>
              <w:rPr>
                <w:sz w:val="20"/>
                <w:szCs w:val="20"/>
              </w:rPr>
            </w:pPr>
            <w:r w:rsidRPr="00B91DE8">
              <w:rPr>
                <w:sz w:val="20"/>
                <w:szCs w:val="20"/>
              </w:rPr>
              <w:t xml:space="preserve">Page </w:t>
            </w:r>
            <w:r w:rsidRPr="00B91DE8">
              <w:rPr>
                <w:sz w:val="20"/>
                <w:szCs w:val="20"/>
              </w:rPr>
              <w:fldChar w:fldCharType="begin"/>
            </w:r>
            <w:r w:rsidRPr="00B91DE8">
              <w:rPr>
                <w:sz w:val="20"/>
                <w:szCs w:val="20"/>
              </w:rPr>
              <w:instrText xml:space="preserve"> PAGE </w:instrText>
            </w:r>
            <w:r w:rsidRPr="00B91DE8">
              <w:rPr>
                <w:sz w:val="20"/>
                <w:szCs w:val="20"/>
              </w:rPr>
              <w:fldChar w:fldCharType="separate"/>
            </w:r>
            <w:r w:rsidRPr="00B91DE8">
              <w:rPr>
                <w:noProof/>
                <w:sz w:val="20"/>
                <w:szCs w:val="20"/>
              </w:rPr>
              <w:t>2</w:t>
            </w:r>
            <w:r w:rsidRPr="00B91DE8">
              <w:rPr>
                <w:sz w:val="20"/>
                <w:szCs w:val="20"/>
              </w:rPr>
              <w:fldChar w:fldCharType="end"/>
            </w:r>
            <w:r w:rsidRPr="00B91DE8">
              <w:rPr>
                <w:sz w:val="20"/>
                <w:szCs w:val="20"/>
              </w:rPr>
              <w:t xml:space="preserve"> of </w:t>
            </w:r>
            <w:r w:rsidRPr="00B91DE8">
              <w:rPr>
                <w:sz w:val="20"/>
                <w:szCs w:val="20"/>
              </w:rPr>
              <w:fldChar w:fldCharType="begin"/>
            </w:r>
            <w:r w:rsidRPr="00B91DE8">
              <w:rPr>
                <w:sz w:val="20"/>
                <w:szCs w:val="20"/>
              </w:rPr>
              <w:instrText xml:space="preserve"> NUMPAGES  </w:instrText>
            </w:r>
            <w:r w:rsidRPr="00B91DE8">
              <w:rPr>
                <w:sz w:val="20"/>
                <w:szCs w:val="20"/>
              </w:rPr>
              <w:fldChar w:fldCharType="separate"/>
            </w:r>
            <w:r w:rsidRPr="00B91DE8">
              <w:rPr>
                <w:noProof/>
                <w:sz w:val="20"/>
                <w:szCs w:val="20"/>
              </w:rPr>
              <w:t>2</w:t>
            </w:r>
            <w:r w:rsidRPr="00B91DE8">
              <w:rPr>
                <w:sz w:val="20"/>
                <w:szCs w:val="20"/>
              </w:rPr>
              <w:fldChar w:fldCharType="end"/>
            </w:r>
          </w:p>
        </w:sdtContent>
      </w:sdt>
    </w:sdtContent>
  </w:sdt>
  <w:p w14:paraId="46F21BD3" w14:textId="77777777" w:rsidR="00B91DE8" w:rsidRDefault="00B91D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6DCDD1" w14:textId="77777777" w:rsidR="004418FA" w:rsidRDefault="004418FA" w:rsidP="00B91DE8">
      <w:r>
        <w:separator/>
      </w:r>
    </w:p>
  </w:footnote>
  <w:footnote w:type="continuationSeparator" w:id="0">
    <w:p w14:paraId="6ACC7863" w14:textId="77777777" w:rsidR="004418FA" w:rsidRDefault="004418FA" w:rsidP="00B91D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0A04C3F"/>
    <w:multiLevelType w:val="hybridMultilevel"/>
    <w:tmpl w:val="90C4450A"/>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16cid:durableId="3385808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6C70"/>
    <w:rsid w:val="000047B2"/>
    <w:rsid w:val="0000660D"/>
    <w:rsid w:val="00021F83"/>
    <w:rsid w:val="00026B44"/>
    <w:rsid w:val="00026DCC"/>
    <w:rsid w:val="000413E4"/>
    <w:rsid w:val="000436E5"/>
    <w:rsid w:val="000909CD"/>
    <w:rsid w:val="000A3022"/>
    <w:rsid w:val="000B1AC0"/>
    <w:rsid w:val="000B5ABE"/>
    <w:rsid w:val="000C0430"/>
    <w:rsid w:val="000C08CB"/>
    <w:rsid w:val="000C29AE"/>
    <w:rsid w:val="000E3E6F"/>
    <w:rsid w:val="0010269F"/>
    <w:rsid w:val="0011640E"/>
    <w:rsid w:val="001256C0"/>
    <w:rsid w:val="00130CAA"/>
    <w:rsid w:val="001424A9"/>
    <w:rsid w:val="0016032D"/>
    <w:rsid w:val="0016630C"/>
    <w:rsid w:val="00174F26"/>
    <w:rsid w:val="001C0C55"/>
    <w:rsid w:val="001E3648"/>
    <w:rsid w:val="001F4A59"/>
    <w:rsid w:val="00203BA2"/>
    <w:rsid w:val="00204125"/>
    <w:rsid w:val="00206F3D"/>
    <w:rsid w:val="002173A9"/>
    <w:rsid w:val="0022270E"/>
    <w:rsid w:val="00265697"/>
    <w:rsid w:val="00284452"/>
    <w:rsid w:val="00294134"/>
    <w:rsid w:val="002A6E86"/>
    <w:rsid w:val="002C3A02"/>
    <w:rsid w:val="002E1467"/>
    <w:rsid w:val="002F3C1C"/>
    <w:rsid w:val="002F46A9"/>
    <w:rsid w:val="002F6F31"/>
    <w:rsid w:val="00300D60"/>
    <w:rsid w:val="00302ECF"/>
    <w:rsid w:val="00312623"/>
    <w:rsid w:val="00322DBD"/>
    <w:rsid w:val="0033370F"/>
    <w:rsid w:val="00335FB3"/>
    <w:rsid w:val="003438D1"/>
    <w:rsid w:val="00354836"/>
    <w:rsid w:val="00382661"/>
    <w:rsid w:val="00392C84"/>
    <w:rsid w:val="003E4D2D"/>
    <w:rsid w:val="003F7B71"/>
    <w:rsid w:val="004003B5"/>
    <w:rsid w:val="004037F1"/>
    <w:rsid w:val="004113A3"/>
    <w:rsid w:val="00417C35"/>
    <w:rsid w:val="0042033E"/>
    <w:rsid w:val="00421C54"/>
    <w:rsid w:val="00424668"/>
    <w:rsid w:val="00424B3D"/>
    <w:rsid w:val="00431298"/>
    <w:rsid w:val="00436AA8"/>
    <w:rsid w:val="004418FA"/>
    <w:rsid w:val="00461FE4"/>
    <w:rsid w:val="00476F6E"/>
    <w:rsid w:val="00492E0A"/>
    <w:rsid w:val="004A2E54"/>
    <w:rsid w:val="004C594A"/>
    <w:rsid w:val="004C78BC"/>
    <w:rsid w:val="004D6F97"/>
    <w:rsid w:val="004E1308"/>
    <w:rsid w:val="004F5463"/>
    <w:rsid w:val="00503BEC"/>
    <w:rsid w:val="00507FD3"/>
    <w:rsid w:val="00524BA1"/>
    <w:rsid w:val="005574E2"/>
    <w:rsid w:val="0056695E"/>
    <w:rsid w:val="005829FF"/>
    <w:rsid w:val="0058665C"/>
    <w:rsid w:val="00596030"/>
    <w:rsid w:val="005B6C81"/>
    <w:rsid w:val="005C0496"/>
    <w:rsid w:val="005D060C"/>
    <w:rsid w:val="005E092D"/>
    <w:rsid w:val="005F174F"/>
    <w:rsid w:val="005F1C92"/>
    <w:rsid w:val="00634234"/>
    <w:rsid w:val="00636C70"/>
    <w:rsid w:val="00642A86"/>
    <w:rsid w:val="00651A20"/>
    <w:rsid w:val="0065411B"/>
    <w:rsid w:val="00654938"/>
    <w:rsid w:val="006621AB"/>
    <w:rsid w:val="0069412B"/>
    <w:rsid w:val="006944E2"/>
    <w:rsid w:val="006C4110"/>
    <w:rsid w:val="006C4742"/>
    <w:rsid w:val="006D3B9B"/>
    <w:rsid w:val="006D6C70"/>
    <w:rsid w:val="006F689D"/>
    <w:rsid w:val="00702C78"/>
    <w:rsid w:val="00723841"/>
    <w:rsid w:val="00732405"/>
    <w:rsid w:val="007338BC"/>
    <w:rsid w:val="00736983"/>
    <w:rsid w:val="00755C5E"/>
    <w:rsid w:val="00756BDC"/>
    <w:rsid w:val="007605EF"/>
    <w:rsid w:val="007664DD"/>
    <w:rsid w:val="007777FB"/>
    <w:rsid w:val="00791BAE"/>
    <w:rsid w:val="00793B93"/>
    <w:rsid w:val="007A4806"/>
    <w:rsid w:val="007A7032"/>
    <w:rsid w:val="007B0C2C"/>
    <w:rsid w:val="007B549F"/>
    <w:rsid w:val="007D241F"/>
    <w:rsid w:val="007E3551"/>
    <w:rsid w:val="007F029B"/>
    <w:rsid w:val="007F34FB"/>
    <w:rsid w:val="007F5195"/>
    <w:rsid w:val="00803B01"/>
    <w:rsid w:val="008528E6"/>
    <w:rsid w:val="0085405E"/>
    <w:rsid w:val="008652C6"/>
    <w:rsid w:val="0088309C"/>
    <w:rsid w:val="008850A6"/>
    <w:rsid w:val="008D2E9F"/>
    <w:rsid w:val="008E475D"/>
    <w:rsid w:val="008E7B6F"/>
    <w:rsid w:val="009035D0"/>
    <w:rsid w:val="009147F5"/>
    <w:rsid w:val="00917086"/>
    <w:rsid w:val="009431B0"/>
    <w:rsid w:val="009550E4"/>
    <w:rsid w:val="0095532A"/>
    <w:rsid w:val="00973EE9"/>
    <w:rsid w:val="00974BA0"/>
    <w:rsid w:val="00993EEF"/>
    <w:rsid w:val="009E6EED"/>
    <w:rsid w:val="009E7FA4"/>
    <w:rsid w:val="009F08D3"/>
    <w:rsid w:val="00A02732"/>
    <w:rsid w:val="00A1165F"/>
    <w:rsid w:val="00A21AD3"/>
    <w:rsid w:val="00A25B81"/>
    <w:rsid w:val="00A37AB1"/>
    <w:rsid w:val="00A50DBB"/>
    <w:rsid w:val="00A577C7"/>
    <w:rsid w:val="00A712EF"/>
    <w:rsid w:val="00A7540B"/>
    <w:rsid w:val="00A81B18"/>
    <w:rsid w:val="00A81EBD"/>
    <w:rsid w:val="00A845A1"/>
    <w:rsid w:val="00A872EB"/>
    <w:rsid w:val="00AA5BA5"/>
    <w:rsid w:val="00AA5D92"/>
    <w:rsid w:val="00AC4659"/>
    <w:rsid w:val="00AE4BF5"/>
    <w:rsid w:val="00B0374B"/>
    <w:rsid w:val="00B200DF"/>
    <w:rsid w:val="00B2084A"/>
    <w:rsid w:val="00B27069"/>
    <w:rsid w:val="00B3038C"/>
    <w:rsid w:val="00B344AE"/>
    <w:rsid w:val="00B35C23"/>
    <w:rsid w:val="00B375E4"/>
    <w:rsid w:val="00B37BA6"/>
    <w:rsid w:val="00B53416"/>
    <w:rsid w:val="00B7293D"/>
    <w:rsid w:val="00B75B63"/>
    <w:rsid w:val="00B80B36"/>
    <w:rsid w:val="00B81EA7"/>
    <w:rsid w:val="00B91DE8"/>
    <w:rsid w:val="00BB0B02"/>
    <w:rsid w:val="00BB182D"/>
    <w:rsid w:val="00BF4EF7"/>
    <w:rsid w:val="00C131E7"/>
    <w:rsid w:val="00C1323E"/>
    <w:rsid w:val="00C3213E"/>
    <w:rsid w:val="00C42B67"/>
    <w:rsid w:val="00C544C9"/>
    <w:rsid w:val="00C91288"/>
    <w:rsid w:val="00C91D35"/>
    <w:rsid w:val="00C96448"/>
    <w:rsid w:val="00CB4BF9"/>
    <w:rsid w:val="00CB5CD9"/>
    <w:rsid w:val="00CB76B6"/>
    <w:rsid w:val="00CD68A7"/>
    <w:rsid w:val="00CD717D"/>
    <w:rsid w:val="00CD73F3"/>
    <w:rsid w:val="00CF0C49"/>
    <w:rsid w:val="00CF7F26"/>
    <w:rsid w:val="00D51733"/>
    <w:rsid w:val="00D57B5A"/>
    <w:rsid w:val="00D71DB2"/>
    <w:rsid w:val="00DB4ACF"/>
    <w:rsid w:val="00DB6FEA"/>
    <w:rsid w:val="00DC7422"/>
    <w:rsid w:val="00DE7818"/>
    <w:rsid w:val="00DF7274"/>
    <w:rsid w:val="00E222AE"/>
    <w:rsid w:val="00E30A52"/>
    <w:rsid w:val="00E34607"/>
    <w:rsid w:val="00E35B8C"/>
    <w:rsid w:val="00E360B3"/>
    <w:rsid w:val="00E53398"/>
    <w:rsid w:val="00E54B5D"/>
    <w:rsid w:val="00E71434"/>
    <w:rsid w:val="00E740F8"/>
    <w:rsid w:val="00E7626B"/>
    <w:rsid w:val="00E9612D"/>
    <w:rsid w:val="00ED7A2C"/>
    <w:rsid w:val="00EF0236"/>
    <w:rsid w:val="00EF1571"/>
    <w:rsid w:val="00EF64C5"/>
    <w:rsid w:val="00F13880"/>
    <w:rsid w:val="00F24F31"/>
    <w:rsid w:val="00F27366"/>
    <w:rsid w:val="00F63267"/>
    <w:rsid w:val="00F67228"/>
    <w:rsid w:val="00F67D09"/>
    <w:rsid w:val="00F72CC3"/>
    <w:rsid w:val="00F761F8"/>
    <w:rsid w:val="00F94A2D"/>
    <w:rsid w:val="00FA06B0"/>
    <w:rsid w:val="00FC5DD6"/>
    <w:rsid w:val="00FC7A83"/>
    <w:rsid w:val="00FE408E"/>
    <w:rsid w:val="00FF62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5C92EA"/>
  <w15:chartTrackingRefBased/>
  <w15:docId w15:val="{6F626E7D-53F3-4653-B740-CE67B62727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6C70"/>
    <w:pPr>
      <w:widowControl w:val="0"/>
      <w:autoSpaceDE w:val="0"/>
      <w:autoSpaceDN w:val="0"/>
      <w:spacing w:after="0" w:line="240" w:lineRule="auto"/>
    </w:pPr>
    <w:rPr>
      <w:rFonts w:ascii="Arial" w:eastAsia="Arial" w:hAnsi="Arial" w:cs="Arial"/>
      <w:kern w:val="0"/>
      <w:sz w:val="22"/>
      <w:szCs w:val="22"/>
      <w:lang w:val="en-US"/>
      <w14:ligatures w14:val="none"/>
    </w:rPr>
  </w:style>
  <w:style w:type="paragraph" w:styleId="Heading1">
    <w:name w:val="heading 1"/>
    <w:basedOn w:val="Normal"/>
    <w:next w:val="Normal"/>
    <w:link w:val="Heading1Char"/>
    <w:uiPriority w:val="9"/>
    <w:qFormat/>
    <w:rsid w:val="00636C7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36C7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36C7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36C7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36C7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36C7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36C7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36C7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36C7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36C7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36C7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36C7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36C7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36C7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36C7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36C7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36C7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36C70"/>
    <w:rPr>
      <w:rFonts w:eastAsiaTheme="majorEastAsia" w:cstheme="majorBidi"/>
      <w:color w:val="272727" w:themeColor="text1" w:themeTint="D8"/>
    </w:rPr>
  </w:style>
  <w:style w:type="paragraph" w:styleId="Title">
    <w:name w:val="Title"/>
    <w:basedOn w:val="Normal"/>
    <w:next w:val="Normal"/>
    <w:link w:val="TitleChar"/>
    <w:uiPriority w:val="10"/>
    <w:qFormat/>
    <w:rsid w:val="00636C7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36C7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36C7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36C7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36C70"/>
    <w:pPr>
      <w:spacing w:before="160"/>
      <w:jc w:val="center"/>
    </w:pPr>
    <w:rPr>
      <w:i/>
      <w:iCs/>
      <w:color w:val="404040" w:themeColor="text1" w:themeTint="BF"/>
    </w:rPr>
  </w:style>
  <w:style w:type="character" w:customStyle="1" w:styleId="QuoteChar">
    <w:name w:val="Quote Char"/>
    <w:basedOn w:val="DefaultParagraphFont"/>
    <w:link w:val="Quote"/>
    <w:uiPriority w:val="29"/>
    <w:rsid w:val="00636C70"/>
    <w:rPr>
      <w:i/>
      <w:iCs/>
      <w:color w:val="404040" w:themeColor="text1" w:themeTint="BF"/>
    </w:rPr>
  </w:style>
  <w:style w:type="paragraph" w:styleId="ListParagraph">
    <w:name w:val="List Paragraph"/>
    <w:basedOn w:val="Normal"/>
    <w:uiPriority w:val="34"/>
    <w:qFormat/>
    <w:rsid w:val="00636C70"/>
    <w:pPr>
      <w:ind w:left="720"/>
      <w:contextualSpacing/>
    </w:pPr>
  </w:style>
  <w:style w:type="character" w:styleId="IntenseEmphasis">
    <w:name w:val="Intense Emphasis"/>
    <w:basedOn w:val="DefaultParagraphFont"/>
    <w:uiPriority w:val="21"/>
    <w:qFormat/>
    <w:rsid w:val="00636C70"/>
    <w:rPr>
      <w:i/>
      <w:iCs/>
      <w:color w:val="0F4761" w:themeColor="accent1" w:themeShade="BF"/>
    </w:rPr>
  </w:style>
  <w:style w:type="paragraph" w:styleId="IntenseQuote">
    <w:name w:val="Intense Quote"/>
    <w:basedOn w:val="Normal"/>
    <w:next w:val="Normal"/>
    <w:link w:val="IntenseQuoteChar"/>
    <w:uiPriority w:val="30"/>
    <w:qFormat/>
    <w:rsid w:val="00636C7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36C70"/>
    <w:rPr>
      <w:i/>
      <w:iCs/>
      <w:color w:val="0F4761" w:themeColor="accent1" w:themeShade="BF"/>
    </w:rPr>
  </w:style>
  <w:style w:type="character" w:styleId="IntenseReference">
    <w:name w:val="Intense Reference"/>
    <w:basedOn w:val="DefaultParagraphFont"/>
    <w:uiPriority w:val="32"/>
    <w:qFormat/>
    <w:rsid w:val="00636C70"/>
    <w:rPr>
      <w:b/>
      <w:bCs/>
      <w:smallCaps/>
      <w:color w:val="0F4761" w:themeColor="accent1" w:themeShade="BF"/>
      <w:spacing w:val="5"/>
    </w:rPr>
  </w:style>
  <w:style w:type="paragraph" w:styleId="BodyText">
    <w:name w:val="Body Text"/>
    <w:basedOn w:val="Normal"/>
    <w:link w:val="BodyTextChar"/>
    <w:uiPriority w:val="1"/>
    <w:qFormat/>
    <w:rsid w:val="00636C70"/>
    <w:rPr>
      <w:sz w:val="28"/>
      <w:szCs w:val="28"/>
    </w:rPr>
  </w:style>
  <w:style w:type="character" w:customStyle="1" w:styleId="BodyTextChar">
    <w:name w:val="Body Text Char"/>
    <w:basedOn w:val="DefaultParagraphFont"/>
    <w:link w:val="BodyText"/>
    <w:uiPriority w:val="1"/>
    <w:rsid w:val="00636C70"/>
    <w:rPr>
      <w:rFonts w:ascii="Arial" w:eastAsia="Arial" w:hAnsi="Arial" w:cs="Arial"/>
      <w:kern w:val="0"/>
      <w:sz w:val="28"/>
      <w:szCs w:val="28"/>
      <w:lang w:val="en-US"/>
      <w14:ligatures w14:val="none"/>
    </w:rPr>
  </w:style>
  <w:style w:type="paragraph" w:customStyle="1" w:styleId="TableParagraph">
    <w:name w:val="Table Paragraph"/>
    <w:basedOn w:val="Normal"/>
    <w:uiPriority w:val="1"/>
    <w:qFormat/>
    <w:rsid w:val="00636C70"/>
  </w:style>
  <w:style w:type="paragraph" w:styleId="Header">
    <w:name w:val="header"/>
    <w:basedOn w:val="Normal"/>
    <w:link w:val="HeaderChar"/>
    <w:uiPriority w:val="99"/>
    <w:unhideWhenUsed/>
    <w:rsid w:val="00B91DE8"/>
    <w:pPr>
      <w:tabs>
        <w:tab w:val="center" w:pos="4513"/>
        <w:tab w:val="right" w:pos="9026"/>
      </w:tabs>
    </w:pPr>
  </w:style>
  <w:style w:type="character" w:customStyle="1" w:styleId="HeaderChar">
    <w:name w:val="Header Char"/>
    <w:basedOn w:val="DefaultParagraphFont"/>
    <w:link w:val="Header"/>
    <w:uiPriority w:val="99"/>
    <w:rsid w:val="00B91DE8"/>
    <w:rPr>
      <w:rFonts w:ascii="Arial" w:eastAsia="Arial" w:hAnsi="Arial" w:cs="Arial"/>
      <w:kern w:val="0"/>
      <w:sz w:val="22"/>
      <w:szCs w:val="22"/>
      <w:lang w:val="en-US"/>
      <w14:ligatures w14:val="none"/>
    </w:rPr>
  </w:style>
  <w:style w:type="paragraph" w:styleId="Footer">
    <w:name w:val="footer"/>
    <w:basedOn w:val="Normal"/>
    <w:link w:val="FooterChar"/>
    <w:uiPriority w:val="99"/>
    <w:unhideWhenUsed/>
    <w:rsid w:val="00B91DE8"/>
    <w:pPr>
      <w:tabs>
        <w:tab w:val="center" w:pos="4513"/>
        <w:tab w:val="right" w:pos="9026"/>
      </w:tabs>
    </w:pPr>
  </w:style>
  <w:style w:type="character" w:customStyle="1" w:styleId="FooterChar">
    <w:name w:val="Footer Char"/>
    <w:basedOn w:val="DefaultParagraphFont"/>
    <w:link w:val="Footer"/>
    <w:uiPriority w:val="99"/>
    <w:rsid w:val="00B91DE8"/>
    <w:rPr>
      <w:rFonts w:ascii="Arial" w:eastAsia="Arial" w:hAnsi="Arial" w:cs="Arial"/>
      <w:kern w:val="0"/>
      <w:sz w:val="22"/>
      <w:szCs w:val="22"/>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8476708">
      <w:bodyDiv w:val="1"/>
      <w:marLeft w:val="0"/>
      <w:marRight w:val="0"/>
      <w:marTop w:val="0"/>
      <w:marBottom w:val="0"/>
      <w:divBdr>
        <w:top w:val="none" w:sz="0" w:space="0" w:color="auto"/>
        <w:left w:val="none" w:sz="0" w:space="0" w:color="auto"/>
        <w:bottom w:val="none" w:sz="0" w:space="0" w:color="auto"/>
        <w:right w:val="none" w:sz="0" w:space="0" w:color="auto"/>
      </w:divBdr>
    </w:div>
    <w:div w:id="868687615">
      <w:bodyDiv w:val="1"/>
      <w:marLeft w:val="0"/>
      <w:marRight w:val="0"/>
      <w:marTop w:val="0"/>
      <w:marBottom w:val="0"/>
      <w:divBdr>
        <w:top w:val="none" w:sz="0" w:space="0" w:color="auto"/>
        <w:left w:val="none" w:sz="0" w:space="0" w:color="auto"/>
        <w:bottom w:val="none" w:sz="0" w:space="0" w:color="auto"/>
        <w:right w:val="none" w:sz="0" w:space="0" w:color="auto"/>
      </w:divBdr>
    </w:div>
    <w:div w:id="961302490">
      <w:bodyDiv w:val="1"/>
      <w:marLeft w:val="0"/>
      <w:marRight w:val="0"/>
      <w:marTop w:val="0"/>
      <w:marBottom w:val="0"/>
      <w:divBdr>
        <w:top w:val="none" w:sz="0" w:space="0" w:color="auto"/>
        <w:left w:val="none" w:sz="0" w:space="0" w:color="auto"/>
        <w:bottom w:val="none" w:sz="0" w:space="0" w:color="auto"/>
        <w:right w:val="none" w:sz="0" w:space="0" w:color="auto"/>
      </w:divBdr>
    </w:div>
    <w:div w:id="1155803514">
      <w:bodyDiv w:val="1"/>
      <w:marLeft w:val="0"/>
      <w:marRight w:val="0"/>
      <w:marTop w:val="0"/>
      <w:marBottom w:val="0"/>
      <w:divBdr>
        <w:top w:val="none" w:sz="0" w:space="0" w:color="auto"/>
        <w:left w:val="none" w:sz="0" w:space="0" w:color="auto"/>
        <w:bottom w:val="none" w:sz="0" w:space="0" w:color="auto"/>
        <w:right w:val="none" w:sz="0" w:space="0" w:color="auto"/>
      </w:divBdr>
    </w:div>
    <w:div w:id="1191995601">
      <w:bodyDiv w:val="1"/>
      <w:marLeft w:val="0"/>
      <w:marRight w:val="0"/>
      <w:marTop w:val="0"/>
      <w:marBottom w:val="0"/>
      <w:divBdr>
        <w:top w:val="none" w:sz="0" w:space="0" w:color="auto"/>
        <w:left w:val="none" w:sz="0" w:space="0" w:color="auto"/>
        <w:bottom w:val="none" w:sz="0" w:space="0" w:color="auto"/>
        <w:right w:val="none" w:sz="0" w:space="0" w:color="auto"/>
      </w:divBdr>
    </w:div>
    <w:div w:id="1328709119">
      <w:bodyDiv w:val="1"/>
      <w:marLeft w:val="0"/>
      <w:marRight w:val="0"/>
      <w:marTop w:val="0"/>
      <w:marBottom w:val="0"/>
      <w:divBdr>
        <w:top w:val="none" w:sz="0" w:space="0" w:color="auto"/>
        <w:left w:val="none" w:sz="0" w:space="0" w:color="auto"/>
        <w:bottom w:val="none" w:sz="0" w:space="0" w:color="auto"/>
        <w:right w:val="none" w:sz="0" w:space="0" w:color="auto"/>
      </w:divBdr>
    </w:div>
    <w:div w:id="1332098555">
      <w:bodyDiv w:val="1"/>
      <w:marLeft w:val="0"/>
      <w:marRight w:val="0"/>
      <w:marTop w:val="0"/>
      <w:marBottom w:val="0"/>
      <w:divBdr>
        <w:top w:val="none" w:sz="0" w:space="0" w:color="auto"/>
        <w:left w:val="none" w:sz="0" w:space="0" w:color="auto"/>
        <w:bottom w:val="none" w:sz="0" w:space="0" w:color="auto"/>
        <w:right w:val="none" w:sz="0" w:space="0" w:color="auto"/>
      </w:divBdr>
    </w:div>
    <w:div w:id="1394356982">
      <w:bodyDiv w:val="1"/>
      <w:marLeft w:val="0"/>
      <w:marRight w:val="0"/>
      <w:marTop w:val="0"/>
      <w:marBottom w:val="0"/>
      <w:divBdr>
        <w:top w:val="none" w:sz="0" w:space="0" w:color="auto"/>
        <w:left w:val="none" w:sz="0" w:space="0" w:color="auto"/>
        <w:bottom w:val="none" w:sz="0" w:space="0" w:color="auto"/>
        <w:right w:val="none" w:sz="0" w:space="0" w:color="auto"/>
      </w:divBdr>
    </w:div>
    <w:div w:id="1575166647">
      <w:bodyDiv w:val="1"/>
      <w:marLeft w:val="0"/>
      <w:marRight w:val="0"/>
      <w:marTop w:val="0"/>
      <w:marBottom w:val="0"/>
      <w:divBdr>
        <w:top w:val="none" w:sz="0" w:space="0" w:color="auto"/>
        <w:left w:val="none" w:sz="0" w:space="0" w:color="auto"/>
        <w:bottom w:val="none" w:sz="0" w:space="0" w:color="auto"/>
        <w:right w:val="none" w:sz="0" w:space="0" w:color="auto"/>
      </w:divBdr>
    </w:div>
    <w:div w:id="1710296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92B0619E48DB146BF4E7EA6A45D2A6B" ma:contentTypeVersion="9" ma:contentTypeDescription="Create a new document." ma:contentTypeScope="" ma:versionID="8fb18d32628c8c4985fbe4720c38ab00">
  <xsd:schema xmlns:xsd="http://www.w3.org/2001/XMLSchema" xmlns:xs="http://www.w3.org/2001/XMLSchema" xmlns:p="http://schemas.microsoft.com/office/2006/metadata/properties" xmlns:ns2="35733c71-d1b6-4a86-8924-72355f3f55dc" targetNamespace="http://schemas.microsoft.com/office/2006/metadata/properties" ma:root="true" ma:fieldsID="24397855ff975645420deeec56677e49" ns2:_="">
    <xsd:import namespace="35733c71-d1b6-4a86-8924-72355f3f55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733c71-d1b6-4a86-8924-72355f3f55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99bec46d-453a-405f-9dc7-db8e94f2710c"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5733c71-d1b6-4a86-8924-72355f3f55d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57D8D92-FEF8-401D-B854-5CD2D0EB1B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733c71-d1b6-4a86-8924-72355f3f55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247E54A-4946-49D0-8696-CCEDCA5DDFB2}">
  <ds:schemaRefs>
    <ds:schemaRef ds:uri="http://schemas.microsoft.com/sharepoint/v3/contenttype/forms"/>
  </ds:schemaRefs>
</ds:datastoreItem>
</file>

<file path=customXml/itemProps3.xml><?xml version="1.0" encoding="utf-8"?>
<ds:datastoreItem xmlns:ds="http://schemas.openxmlformats.org/officeDocument/2006/customXml" ds:itemID="{8234E5A2-9B58-462E-933A-C7BBE4A2DAF2}">
  <ds:schemaRefs>
    <ds:schemaRef ds:uri="http://www.w3.org/XML/1998/namespace"/>
    <ds:schemaRef ds:uri="http://purl.org/dc/elements/1.1/"/>
    <ds:schemaRef ds:uri="http://schemas.microsoft.com/office/infopath/2007/PartnerControls"/>
    <ds:schemaRef ds:uri="http://purl.org/dc/dcmitype/"/>
    <ds:schemaRef ds:uri="http://schemas.microsoft.com/office/2006/documentManagement/types"/>
    <ds:schemaRef ds:uri="http://schemas.microsoft.com/office/2006/metadata/properties"/>
    <ds:schemaRef ds:uri="http://schemas.openxmlformats.org/package/2006/metadata/core-properties"/>
    <ds:schemaRef ds:uri="35733c71-d1b6-4a86-8924-72355f3f55dc"/>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259</TotalTime>
  <Pages>6</Pages>
  <Words>2584</Words>
  <Characters>14733</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Penny Muir</dc:creator>
  <cp:keywords/>
  <dc:description/>
  <cp:lastModifiedBy>Penny Muir</cp:lastModifiedBy>
  <cp:revision>218</cp:revision>
  <dcterms:created xsi:type="dcterms:W3CDTF">2025-05-22T08:56:00Z</dcterms:created>
  <dcterms:modified xsi:type="dcterms:W3CDTF">2025-09-23T07:13:00Z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0x010100A92B0619E48DB146BF4E7EA6A45D2A6B</vt:lpwstr>
  </property>
  <property fmtid="{D5CDD505-2E9C-101B-9397-08002B2CF9AE}" pid="3" name="MediaServiceImageTags">
    <vt:lpwstr/>
  </property>
</Properties>
</file>