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FB1DE" w14:textId="77777777" w:rsidR="00554B6B" w:rsidRPr="00651B03" w:rsidRDefault="00554B6B" w:rsidP="00554B6B">
      <w:pPr>
        <w:pStyle w:val="Heading1"/>
        <w:spacing w:before="130"/>
        <w:rPr>
          <w:rFonts w:ascii="Arial" w:hAnsi="Arial" w:cs="Arial"/>
          <w:b/>
          <w:bCs/>
          <w:color w:val="auto"/>
          <w:sz w:val="36"/>
          <w:szCs w:val="36"/>
        </w:rPr>
      </w:pPr>
      <w:r w:rsidRPr="00651B03">
        <w:rPr>
          <w:rFonts w:ascii="Arial" w:hAnsi="Arial" w:cs="Arial"/>
          <w:b/>
          <w:bCs/>
          <w:noProof/>
          <w:color w:val="auto"/>
          <w:sz w:val="36"/>
          <w:szCs w:val="36"/>
        </w:rPr>
        <w:drawing>
          <wp:anchor distT="0" distB="0" distL="0" distR="0" simplePos="0" relativeHeight="251658240" behindDoc="0" locked="0" layoutInCell="1" allowOverlap="1" wp14:anchorId="6C4B8ADE" wp14:editId="291B55FE">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51B03">
        <w:rPr>
          <w:rFonts w:ascii="Arial" w:hAnsi="Arial" w:cs="Arial"/>
          <w:b/>
          <w:bCs/>
          <w:color w:val="auto"/>
          <w:sz w:val="36"/>
          <w:szCs w:val="36"/>
        </w:rPr>
        <w:t>BOARD OF MANAGEMENT</w:t>
      </w:r>
    </w:p>
    <w:p w14:paraId="65976CAF" w14:textId="77777777" w:rsidR="00554B6B" w:rsidRPr="00734C2E" w:rsidRDefault="00554B6B" w:rsidP="00554B6B">
      <w:pPr>
        <w:rPr>
          <w:rFonts w:ascii="Arial" w:hAnsi="Arial" w:cs="Arial"/>
          <w:b/>
          <w:sz w:val="32"/>
        </w:rPr>
      </w:pPr>
      <w:r>
        <w:rPr>
          <w:rFonts w:ascii="Arial" w:hAnsi="Arial" w:cs="Arial"/>
          <w:b/>
          <w:sz w:val="32"/>
        </w:rPr>
        <w:t>Audit and Risk</w:t>
      </w:r>
      <w:r w:rsidRPr="00734C2E">
        <w:rPr>
          <w:rFonts w:ascii="Arial" w:hAnsi="Arial" w:cs="Arial"/>
          <w:b/>
          <w:sz w:val="32"/>
        </w:rPr>
        <w:t xml:space="preserve"> Committee</w:t>
      </w:r>
    </w:p>
    <w:p w14:paraId="7D316A02" w14:textId="77777777" w:rsidR="00554B6B" w:rsidRPr="00720619" w:rsidRDefault="00554B6B" w:rsidP="00554B6B">
      <w:pPr>
        <w:pStyle w:val="BodyText"/>
        <w:ind w:right="2835"/>
      </w:pPr>
      <w:r w:rsidRPr="00720619">
        <w:rPr>
          <w:noProof/>
        </w:rPr>
        <mc:AlternateContent>
          <mc:Choice Requires="wps">
            <w:drawing>
              <wp:anchor distT="0" distB="0" distL="114300" distR="114300" simplePos="0" relativeHeight="251658241" behindDoc="1" locked="0" layoutInCell="1" allowOverlap="1" wp14:anchorId="18BEC81E" wp14:editId="6A0FEE61">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5FBAF"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720619">
        <w:t xml:space="preserve">Tuesday </w:t>
      </w:r>
      <w:r>
        <w:t>3 June 2025</w:t>
      </w:r>
      <w:r w:rsidRPr="00720619">
        <w:t xml:space="preserve"> at 5.00pm </w:t>
      </w:r>
      <w:r w:rsidRPr="00720619">
        <w:rPr>
          <w:b/>
          <w:bCs/>
          <w:u w:val="single"/>
        </w:rPr>
        <w:t xml:space="preserve">Room </w:t>
      </w:r>
      <w:r>
        <w:rPr>
          <w:b/>
          <w:bCs/>
          <w:u w:val="single"/>
        </w:rPr>
        <w:t>K-TO-</w:t>
      </w:r>
      <w:r w:rsidRPr="00720619">
        <w:rPr>
          <w:b/>
          <w:bCs/>
          <w:u w:val="single"/>
        </w:rPr>
        <w:t>62</w:t>
      </w:r>
      <w:r>
        <w:rPr>
          <w:b/>
          <w:bCs/>
          <w:u w:val="single"/>
        </w:rPr>
        <w:t>4</w:t>
      </w:r>
      <w:r w:rsidRPr="00720619">
        <w:rPr>
          <w:b/>
          <w:bCs/>
          <w:u w:val="single"/>
        </w:rPr>
        <w:t xml:space="preserve">, Kingsway Campus </w:t>
      </w:r>
      <w:r w:rsidRPr="00720619">
        <w:t>(MS Teams option available)</w:t>
      </w:r>
    </w:p>
    <w:p w14:paraId="6BBCD944" w14:textId="77777777" w:rsidR="00554B6B" w:rsidRDefault="00554B6B" w:rsidP="00554B6B">
      <w:pPr>
        <w:rPr>
          <w:sz w:val="30"/>
        </w:rPr>
      </w:pPr>
    </w:p>
    <w:p w14:paraId="3529B3E2" w14:textId="59CAF30B" w:rsidR="00554B6B" w:rsidRPr="00B5090F" w:rsidRDefault="00554B6B" w:rsidP="00554B6B">
      <w:pPr>
        <w:pStyle w:val="BodyText"/>
        <w:rPr>
          <w:sz w:val="22"/>
          <w:szCs w:val="22"/>
          <w:lang w:val="en-GB"/>
        </w:rPr>
      </w:pPr>
      <w:r w:rsidRPr="00B5090F">
        <w:rPr>
          <w:sz w:val="22"/>
          <w:szCs w:val="22"/>
          <w:lang w:val="en-GB"/>
        </w:rPr>
        <w:t xml:space="preserve">Minute of the Audit &amp; Risk Committee meeting held on Tuesday </w:t>
      </w:r>
      <w:r>
        <w:rPr>
          <w:sz w:val="22"/>
          <w:szCs w:val="22"/>
          <w:lang w:val="en-GB"/>
        </w:rPr>
        <w:t>3</w:t>
      </w:r>
      <w:r w:rsidRPr="00B5090F">
        <w:rPr>
          <w:sz w:val="22"/>
          <w:szCs w:val="22"/>
          <w:lang w:val="en-GB"/>
        </w:rPr>
        <w:t xml:space="preserve"> </w:t>
      </w:r>
      <w:r>
        <w:rPr>
          <w:sz w:val="22"/>
          <w:szCs w:val="22"/>
          <w:lang w:val="en-GB"/>
        </w:rPr>
        <w:t>June</w:t>
      </w:r>
      <w:r w:rsidRPr="00B5090F">
        <w:rPr>
          <w:sz w:val="22"/>
          <w:szCs w:val="22"/>
          <w:lang w:val="en-GB"/>
        </w:rPr>
        <w:t xml:space="preserve"> 2025 at 5.00pm in Room K-TO-624 Kingsway Campus and via Microsoft Teams. </w:t>
      </w:r>
    </w:p>
    <w:p w14:paraId="1BE6A7CA" w14:textId="77777777" w:rsidR="00554B6B" w:rsidRPr="00B5090F" w:rsidRDefault="00554B6B" w:rsidP="00554B6B">
      <w:pPr>
        <w:pStyle w:val="BodyText"/>
        <w:rPr>
          <w:sz w:val="22"/>
          <w:szCs w:val="22"/>
          <w:lang w:val="en-GB"/>
        </w:rPr>
      </w:pPr>
    </w:p>
    <w:tbl>
      <w:tblPr>
        <w:tblW w:w="9985" w:type="dxa"/>
        <w:tblLayout w:type="fixed"/>
        <w:tblCellMar>
          <w:left w:w="0" w:type="dxa"/>
          <w:right w:w="0" w:type="dxa"/>
        </w:tblCellMar>
        <w:tblLook w:val="01E0" w:firstRow="1" w:lastRow="1" w:firstColumn="1" w:lastColumn="1" w:noHBand="0" w:noVBand="0"/>
      </w:tblPr>
      <w:tblGrid>
        <w:gridCol w:w="2122"/>
        <w:gridCol w:w="3827"/>
        <w:gridCol w:w="4036"/>
      </w:tblGrid>
      <w:tr w:rsidR="00554B6B" w:rsidRPr="00B5090F" w14:paraId="3B92F407" w14:textId="77777777" w:rsidTr="001D07FA">
        <w:trPr>
          <w:trHeight w:val="252"/>
        </w:trPr>
        <w:tc>
          <w:tcPr>
            <w:tcW w:w="2122" w:type="dxa"/>
          </w:tcPr>
          <w:p w14:paraId="28C994E2" w14:textId="77777777" w:rsidR="00554B6B" w:rsidRPr="00B5090F" w:rsidRDefault="00554B6B" w:rsidP="001D07FA">
            <w:pPr>
              <w:pStyle w:val="TableParagraph"/>
              <w:spacing w:after="60"/>
              <w:rPr>
                <w:b/>
                <w:lang w:val="en-GB"/>
              </w:rPr>
            </w:pPr>
            <w:r w:rsidRPr="00B5090F">
              <w:rPr>
                <w:b/>
                <w:lang w:val="en-GB"/>
              </w:rPr>
              <w:t>PRESENT:</w:t>
            </w:r>
          </w:p>
        </w:tc>
        <w:tc>
          <w:tcPr>
            <w:tcW w:w="3827" w:type="dxa"/>
          </w:tcPr>
          <w:p w14:paraId="58616FA7" w14:textId="386CACBA" w:rsidR="00554B6B" w:rsidRPr="00B5090F" w:rsidRDefault="00554B6B" w:rsidP="001D07FA">
            <w:pPr>
              <w:pStyle w:val="TableParagraph"/>
              <w:spacing w:after="60"/>
              <w:rPr>
                <w:lang w:val="en-GB"/>
              </w:rPr>
            </w:pPr>
            <w:r w:rsidRPr="00B5090F">
              <w:rPr>
                <w:lang w:val="en-GB"/>
              </w:rPr>
              <w:t>Helen Honeyman (Chair)</w:t>
            </w:r>
          </w:p>
        </w:tc>
        <w:tc>
          <w:tcPr>
            <w:tcW w:w="4036" w:type="dxa"/>
          </w:tcPr>
          <w:p w14:paraId="2D05336F" w14:textId="77777777" w:rsidR="00554B6B" w:rsidRPr="00B5090F" w:rsidRDefault="00554B6B" w:rsidP="001D07FA">
            <w:pPr>
              <w:pStyle w:val="TableParagraph"/>
              <w:spacing w:after="60"/>
              <w:rPr>
                <w:lang w:val="en-GB"/>
              </w:rPr>
            </w:pPr>
            <w:r w:rsidRPr="00B5090F">
              <w:rPr>
                <w:lang w:val="en-GB"/>
              </w:rPr>
              <w:t>Derek Smith</w:t>
            </w:r>
          </w:p>
        </w:tc>
      </w:tr>
      <w:tr w:rsidR="00554B6B" w:rsidRPr="00B5090F" w14:paraId="18F5D974" w14:textId="77777777" w:rsidTr="001D07FA">
        <w:trPr>
          <w:trHeight w:val="253"/>
        </w:trPr>
        <w:tc>
          <w:tcPr>
            <w:tcW w:w="2122" w:type="dxa"/>
          </w:tcPr>
          <w:p w14:paraId="0FA88E0F" w14:textId="77777777" w:rsidR="00554B6B" w:rsidRPr="00B5090F" w:rsidRDefault="00554B6B" w:rsidP="001D07FA">
            <w:pPr>
              <w:pStyle w:val="TableParagraph"/>
              <w:spacing w:after="60"/>
              <w:rPr>
                <w:rFonts w:ascii="Times New Roman"/>
                <w:sz w:val="18"/>
                <w:lang w:val="en-GB"/>
              </w:rPr>
            </w:pPr>
          </w:p>
        </w:tc>
        <w:tc>
          <w:tcPr>
            <w:tcW w:w="3827" w:type="dxa"/>
          </w:tcPr>
          <w:p w14:paraId="505E7CF0" w14:textId="573E68C0" w:rsidR="00554B6B" w:rsidRPr="00B5090F" w:rsidRDefault="00554B6B" w:rsidP="001D07FA">
            <w:pPr>
              <w:pStyle w:val="TableParagraph"/>
              <w:tabs>
                <w:tab w:val="left" w:pos="3819"/>
              </w:tabs>
              <w:spacing w:after="60"/>
              <w:rPr>
                <w:lang w:val="en-GB"/>
              </w:rPr>
            </w:pPr>
            <w:r>
              <w:rPr>
                <w:lang w:val="en-GB"/>
              </w:rPr>
              <w:t>Matthew Beattie</w:t>
            </w:r>
          </w:p>
        </w:tc>
        <w:tc>
          <w:tcPr>
            <w:tcW w:w="4036" w:type="dxa"/>
          </w:tcPr>
          <w:p w14:paraId="53EBD276" w14:textId="02D65CE7" w:rsidR="00554B6B" w:rsidRPr="00B5090F" w:rsidRDefault="00554B6B" w:rsidP="001D07FA">
            <w:pPr>
              <w:pStyle w:val="TableParagraph"/>
              <w:spacing w:after="60"/>
              <w:rPr>
                <w:lang w:val="en-GB"/>
              </w:rPr>
            </w:pPr>
            <w:r w:rsidRPr="00C26C7D">
              <w:rPr>
                <w:color w:val="000000" w:themeColor="text1"/>
                <w:lang w:val="en-GB"/>
              </w:rPr>
              <w:t>Richard Gordon</w:t>
            </w:r>
          </w:p>
        </w:tc>
      </w:tr>
      <w:tr w:rsidR="00554B6B" w:rsidRPr="00B5090F" w14:paraId="6677DED3" w14:textId="77777777" w:rsidTr="001D07FA">
        <w:trPr>
          <w:trHeight w:val="250"/>
        </w:trPr>
        <w:tc>
          <w:tcPr>
            <w:tcW w:w="2122" w:type="dxa"/>
          </w:tcPr>
          <w:p w14:paraId="2AA3EFCA" w14:textId="77777777" w:rsidR="00554B6B" w:rsidRPr="00B5090F" w:rsidRDefault="00554B6B" w:rsidP="001D07FA">
            <w:pPr>
              <w:pStyle w:val="TableParagraph"/>
              <w:spacing w:after="60"/>
              <w:rPr>
                <w:rFonts w:ascii="Times New Roman"/>
                <w:sz w:val="18"/>
                <w:lang w:val="en-GB"/>
              </w:rPr>
            </w:pPr>
          </w:p>
        </w:tc>
        <w:tc>
          <w:tcPr>
            <w:tcW w:w="3827" w:type="dxa"/>
          </w:tcPr>
          <w:p w14:paraId="6E32D825" w14:textId="77777777" w:rsidR="00554B6B" w:rsidRPr="00B5090F" w:rsidRDefault="00554B6B" w:rsidP="001D07FA">
            <w:pPr>
              <w:pStyle w:val="TableParagraph"/>
              <w:spacing w:after="60"/>
              <w:rPr>
                <w:lang w:val="en-GB"/>
              </w:rPr>
            </w:pPr>
            <w:r w:rsidRPr="00B5090F">
              <w:rPr>
                <w:lang w:val="en-GB"/>
              </w:rPr>
              <w:t>Ged Bell</w:t>
            </w:r>
          </w:p>
        </w:tc>
        <w:tc>
          <w:tcPr>
            <w:tcW w:w="4036" w:type="dxa"/>
          </w:tcPr>
          <w:p w14:paraId="2F9AF363" w14:textId="74B6C88E" w:rsidR="00554B6B" w:rsidRPr="00B5090F" w:rsidRDefault="00554B6B" w:rsidP="001D07FA">
            <w:pPr>
              <w:pStyle w:val="TableParagraph"/>
              <w:spacing w:after="60"/>
              <w:rPr>
                <w:lang w:val="en-GB"/>
              </w:rPr>
            </w:pPr>
          </w:p>
        </w:tc>
      </w:tr>
    </w:tbl>
    <w:p w14:paraId="2D2750F0" w14:textId="77777777" w:rsidR="00554B6B" w:rsidRPr="00B5090F" w:rsidRDefault="00554B6B" w:rsidP="00554B6B"/>
    <w:tbl>
      <w:tblPr>
        <w:tblW w:w="9985" w:type="dxa"/>
        <w:tblLayout w:type="fixed"/>
        <w:tblCellMar>
          <w:left w:w="0" w:type="dxa"/>
          <w:right w:w="0" w:type="dxa"/>
        </w:tblCellMar>
        <w:tblLook w:val="01E0" w:firstRow="1" w:lastRow="1" w:firstColumn="1" w:lastColumn="1" w:noHBand="0" w:noVBand="0"/>
      </w:tblPr>
      <w:tblGrid>
        <w:gridCol w:w="2122"/>
        <w:gridCol w:w="7863"/>
      </w:tblGrid>
      <w:tr w:rsidR="00A063C3" w:rsidRPr="00B5090F" w14:paraId="0F3DCD5E" w14:textId="77777777" w:rsidTr="00EC2C4C">
        <w:trPr>
          <w:trHeight w:val="251"/>
        </w:trPr>
        <w:tc>
          <w:tcPr>
            <w:tcW w:w="2122" w:type="dxa"/>
          </w:tcPr>
          <w:p w14:paraId="5858D6E9" w14:textId="77777777" w:rsidR="00A063C3" w:rsidRPr="00B5090F" w:rsidRDefault="00A063C3" w:rsidP="001D07FA">
            <w:pPr>
              <w:pStyle w:val="TableParagraph"/>
              <w:spacing w:after="60"/>
              <w:rPr>
                <w:b/>
                <w:lang w:val="en-GB"/>
              </w:rPr>
            </w:pPr>
            <w:r w:rsidRPr="00B5090F">
              <w:rPr>
                <w:b/>
                <w:lang w:val="en-GB"/>
              </w:rPr>
              <w:t>IN ATTENDANCE:</w:t>
            </w:r>
          </w:p>
        </w:tc>
        <w:tc>
          <w:tcPr>
            <w:tcW w:w="7863" w:type="dxa"/>
          </w:tcPr>
          <w:p w14:paraId="31D68F22" w14:textId="26F7B1C0" w:rsidR="00A063C3" w:rsidRPr="00B5090F" w:rsidRDefault="00A063C3" w:rsidP="001D07FA">
            <w:pPr>
              <w:pStyle w:val="TableParagraph"/>
              <w:spacing w:after="60"/>
              <w:rPr>
                <w:lang w:val="en-GB"/>
              </w:rPr>
            </w:pPr>
            <w:r>
              <w:rPr>
                <w:lang w:val="en-GB"/>
              </w:rPr>
              <w:t>Steve McNaught</w:t>
            </w:r>
            <w:r w:rsidRPr="00B5090F">
              <w:rPr>
                <w:lang w:val="en-GB"/>
              </w:rPr>
              <w:t xml:space="preserve"> (Henderson Loggie)</w:t>
            </w:r>
          </w:p>
        </w:tc>
      </w:tr>
      <w:tr w:rsidR="00A063C3" w:rsidRPr="00B5090F" w14:paraId="13E79B84" w14:textId="77777777" w:rsidTr="00947E97">
        <w:trPr>
          <w:trHeight w:val="251"/>
        </w:trPr>
        <w:tc>
          <w:tcPr>
            <w:tcW w:w="2122" w:type="dxa"/>
          </w:tcPr>
          <w:p w14:paraId="50FC4399" w14:textId="77777777" w:rsidR="00A063C3" w:rsidRPr="00B5090F" w:rsidRDefault="00A063C3" w:rsidP="001D07FA">
            <w:pPr>
              <w:pStyle w:val="TableParagraph"/>
              <w:spacing w:after="60"/>
              <w:rPr>
                <w:rFonts w:ascii="Times New Roman"/>
                <w:sz w:val="18"/>
                <w:lang w:val="en-GB"/>
              </w:rPr>
            </w:pPr>
          </w:p>
        </w:tc>
        <w:tc>
          <w:tcPr>
            <w:tcW w:w="7863" w:type="dxa"/>
          </w:tcPr>
          <w:p w14:paraId="18085D15" w14:textId="171E1D50" w:rsidR="00A063C3" w:rsidRPr="00B5090F" w:rsidRDefault="00A063C3" w:rsidP="001D07FA">
            <w:pPr>
              <w:pStyle w:val="TableParagraph"/>
              <w:spacing w:after="60"/>
              <w:rPr>
                <w:lang w:val="en-GB"/>
              </w:rPr>
            </w:pPr>
            <w:r>
              <w:rPr>
                <w:lang w:val="en-GB"/>
              </w:rPr>
              <w:t>Nicky Anderson (Director of Finance)</w:t>
            </w:r>
          </w:p>
        </w:tc>
      </w:tr>
      <w:tr w:rsidR="00554B6B" w:rsidRPr="00B5090F" w14:paraId="6E5DEC48" w14:textId="77777777" w:rsidTr="001D07FA">
        <w:trPr>
          <w:trHeight w:val="251"/>
        </w:trPr>
        <w:tc>
          <w:tcPr>
            <w:tcW w:w="2122" w:type="dxa"/>
          </w:tcPr>
          <w:p w14:paraId="3745C2DD" w14:textId="77777777" w:rsidR="00554B6B" w:rsidRPr="00B5090F" w:rsidRDefault="00554B6B" w:rsidP="001D07FA">
            <w:pPr>
              <w:pStyle w:val="TableParagraph"/>
              <w:spacing w:after="60"/>
              <w:rPr>
                <w:rFonts w:ascii="Times New Roman"/>
                <w:sz w:val="18"/>
                <w:lang w:val="en-GB"/>
              </w:rPr>
            </w:pPr>
          </w:p>
        </w:tc>
        <w:tc>
          <w:tcPr>
            <w:tcW w:w="7863" w:type="dxa"/>
          </w:tcPr>
          <w:p w14:paraId="0A515CB3" w14:textId="77777777" w:rsidR="00554B6B" w:rsidRPr="00B5090F" w:rsidRDefault="00554B6B" w:rsidP="001D07FA">
            <w:pPr>
              <w:pStyle w:val="TableParagraph"/>
              <w:spacing w:after="60"/>
              <w:rPr>
                <w:lang w:val="en-GB"/>
              </w:rPr>
            </w:pPr>
            <w:r w:rsidRPr="00B5090F">
              <w:rPr>
                <w:lang w:val="en-GB"/>
              </w:rPr>
              <w:t xml:space="preserve">Steven Taylor (Vice Principal Support and Organisation) </w:t>
            </w:r>
          </w:p>
        </w:tc>
      </w:tr>
      <w:tr w:rsidR="00554B6B" w:rsidRPr="00B5090F" w14:paraId="3E0F9F29" w14:textId="77777777" w:rsidTr="001D07FA">
        <w:trPr>
          <w:trHeight w:val="251"/>
        </w:trPr>
        <w:tc>
          <w:tcPr>
            <w:tcW w:w="2122" w:type="dxa"/>
          </w:tcPr>
          <w:p w14:paraId="243E7B45" w14:textId="77777777" w:rsidR="00554B6B" w:rsidRPr="00B5090F" w:rsidRDefault="00554B6B" w:rsidP="001D07FA">
            <w:pPr>
              <w:pStyle w:val="TableParagraph"/>
              <w:spacing w:after="60"/>
              <w:rPr>
                <w:rFonts w:ascii="Times New Roman"/>
                <w:sz w:val="18"/>
                <w:lang w:val="en-GB"/>
              </w:rPr>
            </w:pPr>
          </w:p>
        </w:tc>
        <w:tc>
          <w:tcPr>
            <w:tcW w:w="7863" w:type="dxa"/>
          </w:tcPr>
          <w:p w14:paraId="0C0BDC50" w14:textId="0302BF69" w:rsidR="00554B6B" w:rsidRPr="00346481" w:rsidRDefault="00554B6B" w:rsidP="001D07FA">
            <w:pPr>
              <w:pStyle w:val="TableParagraph"/>
              <w:spacing w:after="60"/>
              <w:rPr>
                <w:lang w:val="en-GB"/>
              </w:rPr>
            </w:pPr>
            <w:r w:rsidRPr="00346481">
              <w:rPr>
                <w:lang w:val="en-GB"/>
              </w:rPr>
              <w:t>Michael Speight</w:t>
            </w:r>
            <w:r w:rsidR="00C05914" w:rsidRPr="00346481">
              <w:rPr>
                <w:lang w:val="en-GB"/>
              </w:rPr>
              <w:t xml:space="preserve"> &amp; Konz</w:t>
            </w:r>
            <w:r w:rsidR="00B45F12">
              <w:rPr>
                <w:lang w:val="en-GB"/>
              </w:rPr>
              <w:t>ekerani Chigwen</w:t>
            </w:r>
            <w:r w:rsidR="00622679">
              <w:rPr>
                <w:lang w:val="en-GB"/>
              </w:rPr>
              <w:t>embe</w:t>
            </w:r>
            <w:r w:rsidR="0006433E" w:rsidRPr="00346481">
              <w:rPr>
                <w:lang w:val="en-GB"/>
              </w:rPr>
              <w:t xml:space="preserve"> </w:t>
            </w:r>
            <w:r w:rsidRPr="00346481">
              <w:rPr>
                <w:lang w:val="en-GB"/>
              </w:rPr>
              <w:t>(Forvis Mazars)</w:t>
            </w:r>
          </w:p>
        </w:tc>
      </w:tr>
      <w:tr w:rsidR="00554B6B" w:rsidRPr="00B5090F" w14:paraId="2FF41165" w14:textId="77777777" w:rsidTr="001D07FA">
        <w:trPr>
          <w:trHeight w:val="251"/>
        </w:trPr>
        <w:tc>
          <w:tcPr>
            <w:tcW w:w="2122" w:type="dxa"/>
          </w:tcPr>
          <w:p w14:paraId="7859C746" w14:textId="77777777" w:rsidR="00554B6B" w:rsidRPr="00B5090F" w:rsidRDefault="00554B6B" w:rsidP="001D07FA">
            <w:pPr>
              <w:pStyle w:val="TableParagraph"/>
              <w:spacing w:after="60"/>
              <w:rPr>
                <w:rFonts w:ascii="Times New Roman"/>
                <w:sz w:val="18"/>
                <w:lang w:val="en-GB"/>
              </w:rPr>
            </w:pPr>
          </w:p>
        </w:tc>
        <w:tc>
          <w:tcPr>
            <w:tcW w:w="7863" w:type="dxa"/>
          </w:tcPr>
          <w:p w14:paraId="273ED167" w14:textId="77777777" w:rsidR="00554B6B" w:rsidRPr="00B5090F" w:rsidRDefault="00554B6B" w:rsidP="001D07FA">
            <w:pPr>
              <w:pStyle w:val="TableParagraph"/>
              <w:spacing w:after="60"/>
              <w:rPr>
                <w:lang w:val="en-GB"/>
              </w:rPr>
            </w:pPr>
            <w:r w:rsidRPr="00B5090F">
              <w:rPr>
                <w:lang w:val="en-GB"/>
              </w:rPr>
              <w:t>Penny Muir (Board Administrator)</w:t>
            </w:r>
          </w:p>
        </w:tc>
      </w:tr>
    </w:tbl>
    <w:p w14:paraId="21BEF0D4" w14:textId="77777777" w:rsidR="00554B6B" w:rsidRDefault="00554B6B" w:rsidP="00622679">
      <w:pPr>
        <w:rPr>
          <w:rFonts w:ascii="Arial" w:hAnsi="Arial" w:cs="Arial"/>
          <w:b/>
        </w:rPr>
      </w:pPr>
    </w:p>
    <w:tbl>
      <w:tblPr>
        <w:tblW w:w="9923" w:type="dxa"/>
        <w:tblLayout w:type="fixed"/>
        <w:tblCellMar>
          <w:left w:w="0" w:type="dxa"/>
          <w:right w:w="0" w:type="dxa"/>
        </w:tblCellMar>
        <w:tblLook w:val="01E0" w:firstRow="1" w:lastRow="1" w:firstColumn="1" w:lastColumn="1" w:noHBand="0" w:noVBand="0"/>
      </w:tblPr>
      <w:tblGrid>
        <w:gridCol w:w="426"/>
        <w:gridCol w:w="9497"/>
      </w:tblGrid>
      <w:tr w:rsidR="00044AE9" w:rsidRPr="00E97DFC" w14:paraId="6B414D13" w14:textId="77777777" w:rsidTr="00044AE9">
        <w:trPr>
          <w:trHeight w:val="545"/>
        </w:trPr>
        <w:tc>
          <w:tcPr>
            <w:tcW w:w="426" w:type="dxa"/>
          </w:tcPr>
          <w:p w14:paraId="4D62B099"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1F53E5CA" w14:textId="77777777" w:rsidR="00044AE9" w:rsidRPr="00E97DFC" w:rsidRDefault="00044AE9" w:rsidP="001D07FA">
            <w:pPr>
              <w:pStyle w:val="TableParagraph"/>
              <w:rPr>
                <w:b/>
                <w:lang w:val="en-GB"/>
              </w:rPr>
            </w:pPr>
            <w:r w:rsidRPr="00E97DFC">
              <w:rPr>
                <w:b/>
                <w:lang w:val="en-GB"/>
              </w:rPr>
              <w:t>WELCOME</w:t>
            </w:r>
          </w:p>
          <w:p w14:paraId="3ECBCB9F" w14:textId="77777777" w:rsidR="00044AE9" w:rsidRPr="00E97DFC" w:rsidRDefault="00044AE9" w:rsidP="001D07FA">
            <w:pPr>
              <w:pStyle w:val="TableParagraph"/>
              <w:rPr>
                <w:b/>
                <w:lang w:val="en-GB"/>
              </w:rPr>
            </w:pPr>
          </w:p>
          <w:p w14:paraId="7AC339A6" w14:textId="4A891B95" w:rsidR="00044AE9" w:rsidRPr="00E97DFC" w:rsidRDefault="00044AE9" w:rsidP="001D07FA">
            <w:pPr>
              <w:pStyle w:val="TableParagraph"/>
              <w:rPr>
                <w:b/>
                <w:lang w:val="en-GB"/>
              </w:rPr>
            </w:pPr>
            <w:r w:rsidRPr="00E97DFC">
              <w:rPr>
                <w:bCs/>
                <w:lang w:val="en-GB"/>
              </w:rPr>
              <w:t>H Honeyman welcomed everyone to the Audit &amp; Risk Committee meeting.</w:t>
            </w:r>
          </w:p>
          <w:p w14:paraId="5E1DBBFD" w14:textId="77777777" w:rsidR="00044AE9" w:rsidRPr="00E97DFC" w:rsidRDefault="00044AE9" w:rsidP="001D07FA">
            <w:pPr>
              <w:pStyle w:val="TableParagraph"/>
              <w:rPr>
                <w:b/>
                <w:lang w:val="en-GB"/>
              </w:rPr>
            </w:pPr>
          </w:p>
        </w:tc>
      </w:tr>
      <w:tr w:rsidR="00044AE9" w:rsidRPr="00E97DFC" w14:paraId="582D0103" w14:textId="77777777" w:rsidTr="00044AE9">
        <w:trPr>
          <w:trHeight w:val="553"/>
        </w:trPr>
        <w:tc>
          <w:tcPr>
            <w:tcW w:w="426" w:type="dxa"/>
          </w:tcPr>
          <w:p w14:paraId="4336D361"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59798AE3" w14:textId="77777777" w:rsidR="00044AE9" w:rsidRPr="00E97DFC" w:rsidRDefault="00044AE9" w:rsidP="001D07FA">
            <w:pPr>
              <w:pStyle w:val="TableParagraph"/>
              <w:rPr>
                <w:b/>
                <w:lang w:val="en-GB"/>
              </w:rPr>
            </w:pPr>
            <w:r w:rsidRPr="00E97DFC">
              <w:rPr>
                <w:b/>
                <w:lang w:val="en-GB"/>
              </w:rPr>
              <w:t>APOLOGIES</w:t>
            </w:r>
          </w:p>
          <w:p w14:paraId="60E6E791" w14:textId="77777777" w:rsidR="00044AE9" w:rsidRPr="00E97DFC" w:rsidRDefault="00044AE9" w:rsidP="001D07FA">
            <w:pPr>
              <w:pStyle w:val="TableParagraph"/>
              <w:rPr>
                <w:b/>
                <w:lang w:val="en-GB"/>
              </w:rPr>
            </w:pPr>
          </w:p>
          <w:p w14:paraId="2D77185F" w14:textId="7FDA38AE" w:rsidR="00044AE9" w:rsidRPr="00E97DFC" w:rsidRDefault="00044AE9" w:rsidP="001D07FA">
            <w:pPr>
              <w:pStyle w:val="TableParagraph"/>
              <w:rPr>
                <w:b/>
                <w:lang w:val="en-GB"/>
              </w:rPr>
            </w:pPr>
            <w:r w:rsidRPr="00E97DFC">
              <w:rPr>
                <w:bCs/>
                <w:lang w:val="en-GB"/>
              </w:rPr>
              <w:t>Apologies were noted from K McIntosh and J Buchanan.</w:t>
            </w:r>
            <w:r w:rsidR="00EA2EDA" w:rsidRPr="00E97DFC">
              <w:rPr>
                <w:bCs/>
                <w:lang w:val="en-GB"/>
              </w:rPr>
              <w:t xml:space="preserve"> S M</w:t>
            </w:r>
            <w:r w:rsidR="00FC21B9" w:rsidRPr="00E97DFC">
              <w:rPr>
                <w:bCs/>
                <w:lang w:val="en-GB"/>
              </w:rPr>
              <w:t>cNaught noted he was standing in for D Archibald.</w:t>
            </w:r>
          </w:p>
          <w:p w14:paraId="29580549" w14:textId="2DB3BC5E" w:rsidR="00044AE9" w:rsidRPr="00E97DFC" w:rsidRDefault="00044AE9" w:rsidP="001D07FA">
            <w:pPr>
              <w:pStyle w:val="TableParagraph"/>
              <w:rPr>
                <w:bCs/>
                <w:lang w:val="en-GB"/>
              </w:rPr>
            </w:pPr>
          </w:p>
        </w:tc>
      </w:tr>
      <w:tr w:rsidR="00044AE9" w:rsidRPr="00E97DFC" w14:paraId="0CA487F2" w14:textId="77777777" w:rsidTr="00044AE9">
        <w:trPr>
          <w:trHeight w:val="561"/>
        </w:trPr>
        <w:tc>
          <w:tcPr>
            <w:tcW w:w="426" w:type="dxa"/>
          </w:tcPr>
          <w:p w14:paraId="518CBD69"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46DD0D49" w14:textId="77777777" w:rsidR="00044AE9" w:rsidRPr="00E97DFC" w:rsidRDefault="00044AE9" w:rsidP="001D07FA">
            <w:pPr>
              <w:pStyle w:val="TableParagraph"/>
              <w:rPr>
                <w:b/>
                <w:lang w:val="en-GB"/>
              </w:rPr>
            </w:pPr>
            <w:r w:rsidRPr="00E97DFC">
              <w:rPr>
                <w:b/>
                <w:lang w:val="en-GB"/>
              </w:rPr>
              <w:t>DECLARATIONS OF CONNECTION &amp; INTEREST</w:t>
            </w:r>
          </w:p>
          <w:p w14:paraId="018A6D21" w14:textId="77777777" w:rsidR="00044AE9" w:rsidRPr="00E97DFC" w:rsidRDefault="00044AE9" w:rsidP="001D07FA">
            <w:pPr>
              <w:pStyle w:val="TableParagraph"/>
              <w:rPr>
                <w:b/>
                <w:lang w:val="en-GB"/>
              </w:rPr>
            </w:pPr>
          </w:p>
          <w:p w14:paraId="6BEBD47E" w14:textId="292B1A85" w:rsidR="00044AE9" w:rsidRPr="00E97DFC" w:rsidRDefault="00044AE9" w:rsidP="00554B6B">
            <w:pPr>
              <w:pStyle w:val="TableParagraph"/>
              <w:rPr>
                <w:lang w:val="en-GB"/>
              </w:rPr>
            </w:pPr>
            <w:r w:rsidRPr="00E97DFC">
              <w:rPr>
                <w:lang w:val="en-GB"/>
              </w:rPr>
              <w:t xml:space="preserve">No declarations of connection and interest were noted. </w:t>
            </w:r>
          </w:p>
          <w:p w14:paraId="1F4B3F83" w14:textId="77777777" w:rsidR="00044AE9" w:rsidRPr="00E97DFC" w:rsidRDefault="00044AE9" w:rsidP="001D07FA">
            <w:pPr>
              <w:pStyle w:val="TableParagraph"/>
              <w:rPr>
                <w:b/>
                <w:lang w:val="en-GB"/>
              </w:rPr>
            </w:pPr>
          </w:p>
        </w:tc>
      </w:tr>
      <w:tr w:rsidR="00044AE9" w:rsidRPr="00E97DFC" w14:paraId="2DA8497F" w14:textId="77777777" w:rsidTr="00044AE9">
        <w:trPr>
          <w:trHeight w:val="724"/>
        </w:trPr>
        <w:tc>
          <w:tcPr>
            <w:tcW w:w="426" w:type="dxa"/>
          </w:tcPr>
          <w:p w14:paraId="1F000204"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0BCA5286" w14:textId="5A042310" w:rsidR="00044AE9" w:rsidRPr="00E97DFC" w:rsidRDefault="00044AE9" w:rsidP="001D07FA">
            <w:pPr>
              <w:pStyle w:val="TableParagraph"/>
              <w:rPr>
                <w:lang w:val="en-GB"/>
              </w:rPr>
            </w:pPr>
            <w:r w:rsidRPr="00E97DFC">
              <w:rPr>
                <w:b/>
                <w:lang w:val="en-GB"/>
              </w:rPr>
              <w:t xml:space="preserve">MINUTE OF THE PREVIOUS MEETING </w:t>
            </w:r>
          </w:p>
          <w:p w14:paraId="209A2B05" w14:textId="77777777" w:rsidR="00044AE9" w:rsidRPr="00E97DFC" w:rsidRDefault="00044AE9" w:rsidP="001D07FA">
            <w:pPr>
              <w:pStyle w:val="TableParagraph"/>
              <w:rPr>
                <w:lang w:val="en-GB"/>
              </w:rPr>
            </w:pPr>
          </w:p>
          <w:p w14:paraId="5571107E" w14:textId="4B315607" w:rsidR="00044AE9" w:rsidRPr="00E97DFC" w:rsidRDefault="00044AE9" w:rsidP="00554B6B">
            <w:pPr>
              <w:pStyle w:val="TableParagraph"/>
              <w:rPr>
                <w:lang w:val="en-GB"/>
              </w:rPr>
            </w:pPr>
            <w:r w:rsidRPr="00E97DFC">
              <w:rPr>
                <w:lang w:val="en-GB"/>
              </w:rPr>
              <w:t>The minute of the Audit &amp; Risk Committee meeting held on 4 March 2025 was approved as an accurate record.</w:t>
            </w:r>
          </w:p>
          <w:p w14:paraId="5E5A28A5" w14:textId="77777777" w:rsidR="00044AE9" w:rsidRPr="00E97DFC" w:rsidRDefault="00044AE9" w:rsidP="001D07FA">
            <w:pPr>
              <w:pStyle w:val="TableParagraph"/>
              <w:rPr>
                <w:lang w:val="en-GB"/>
              </w:rPr>
            </w:pPr>
          </w:p>
        </w:tc>
      </w:tr>
      <w:tr w:rsidR="00044AE9" w:rsidRPr="00E97DFC" w14:paraId="488BE120" w14:textId="77777777" w:rsidTr="00044AE9">
        <w:trPr>
          <w:trHeight w:val="565"/>
        </w:trPr>
        <w:tc>
          <w:tcPr>
            <w:tcW w:w="426" w:type="dxa"/>
          </w:tcPr>
          <w:p w14:paraId="2C184D0D"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54738D0C" w14:textId="77777777" w:rsidR="00044AE9" w:rsidRPr="00E97DFC" w:rsidRDefault="00044AE9" w:rsidP="001D07FA">
            <w:pPr>
              <w:pStyle w:val="TableParagraph"/>
              <w:rPr>
                <w:b/>
                <w:lang w:val="en-GB"/>
              </w:rPr>
            </w:pPr>
            <w:r w:rsidRPr="00E97DFC">
              <w:rPr>
                <w:b/>
                <w:lang w:val="en-GB"/>
              </w:rPr>
              <w:t>MATTERS ARISING</w:t>
            </w:r>
          </w:p>
          <w:p w14:paraId="6D5353E5" w14:textId="77777777" w:rsidR="00044AE9" w:rsidRPr="00E97DFC" w:rsidRDefault="00044AE9" w:rsidP="001D07FA">
            <w:pPr>
              <w:pStyle w:val="TableParagraph"/>
              <w:rPr>
                <w:b/>
                <w:lang w:val="en-GB"/>
              </w:rPr>
            </w:pPr>
          </w:p>
          <w:p w14:paraId="59C752CC" w14:textId="00F5D38A" w:rsidR="00044AE9" w:rsidRPr="00E97DFC" w:rsidRDefault="00044AE9" w:rsidP="001D07FA">
            <w:pPr>
              <w:pStyle w:val="TableParagraph"/>
              <w:rPr>
                <w:bCs/>
                <w:lang w:val="en-GB"/>
              </w:rPr>
            </w:pPr>
            <w:r w:rsidRPr="00E97DFC">
              <w:rPr>
                <w:bCs/>
                <w:lang w:val="en-GB"/>
              </w:rPr>
              <w:t>All matters arising have been completed or are addressed in the current agenda.</w:t>
            </w:r>
          </w:p>
          <w:p w14:paraId="3B50C33D" w14:textId="1C5D8E36" w:rsidR="00FC21B9" w:rsidRPr="00E97DFC" w:rsidRDefault="00FC21B9" w:rsidP="001D07FA">
            <w:pPr>
              <w:pStyle w:val="TableParagraph"/>
              <w:rPr>
                <w:bCs/>
                <w:lang w:val="en-GB"/>
              </w:rPr>
            </w:pPr>
          </w:p>
        </w:tc>
      </w:tr>
      <w:tr w:rsidR="00926E1C" w:rsidRPr="00E97DFC" w14:paraId="1CBBF4BC" w14:textId="77777777" w:rsidTr="00044AE9">
        <w:trPr>
          <w:trHeight w:val="1415"/>
        </w:trPr>
        <w:tc>
          <w:tcPr>
            <w:tcW w:w="426" w:type="dxa"/>
          </w:tcPr>
          <w:p w14:paraId="53CCC09E" w14:textId="77777777" w:rsidR="00926E1C" w:rsidRPr="00E97DFC" w:rsidRDefault="00926E1C" w:rsidP="00554B6B">
            <w:pPr>
              <w:pStyle w:val="TableParagraph"/>
              <w:numPr>
                <w:ilvl w:val="0"/>
                <w:numId w:val="1"/>
              </w:numPr>
              <w:ind w:left="0" w:firstLine="0"/>
              <w:jc w:val="center"/>
              <w:rPr>
                <w:b/>
                <w:lang w:val="en-GB"/>
              </w:rPr>
            </w:pPr>
          </w:p>
        </w:tc>
        <w:tc>
          <w:tcPr>
            <w:tcW w:w="9497" w:type="dxa"/>
          </w:tcPr>
          <w:p w14:paraId="22DCDB48" w14:textId="77777777" w:rsidR="00926E1C" w:rsidRPr="00E97DFC" w:rsidRDefault="00926E1C" w:rsidP="00926E1C">
            <w:pPr>
              <w:pStyle w:val="TableParagraph"/>
              <w:rPr>
                <w:b/>
                <w:lang w:val="en-GB"/>
              </w:rPr>
            </w:pPr>
            <w:r w:rsidRPr="00E97DFC">
              <w:rPr>
                <w:b/>
                <w:lang w:val="en-GB"/>
              </w:rPr>
              <w:t>AUDIT</w:t>
            </w:r>
          </w:p>
          <w:p w14:paraId="0DD50E06" w14:textId="77777777" w:rsidR="00926E1C" w:rsidRPr="00E97DFC" w:rsidRDefault="00926E1C" w:rsidP="00926E1C">
            <w:pPr>
              <w:pStyle w:val="TableParagraph"/>
              <w:rPr>
                <w:b/>
                <w:lang w:val="en-GB"/>
              </w:rPr>
            </w:pPr>
          </w:p>
          <w:p w14:paraId="3536A389" w14:textId="77777777" w:rsidR="00926E1C" w:rsidRPr="00E97DFC" w:rsidRDefault="00926E1C" w:rsidP="00926E1C">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26744402" w14:textId="77777777" w:rsidR="00926E1C" w:rsidRPr="00E97DFC" w:rsidRDefault="00926E1C" w:rsidP="00926E1C">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24757096" w14:textId="77777777" w:rsidR="00926E1C" w:rsidRPr="00E97DFC" w:rsidRDefault="00926E1C" w:rsidP="00926E1C">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14529BD8" w14:textId="77777777" w:rsidR="00926E1C" w:rsidRPr="00E97DFC" w:rsidRDefault="00926E1C" w:rsidP="00926E1C">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44B0EF6F" w14:textId="77777777" w:rsidR="00926E1C" w:rsidRPr="00E97DFC" w:rsidRDefault="00926E1C" w:rsidP="00926E1C">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37479C25" w14:textId="77777777" w:rsidR="00926E1C" w:rsidRPr="00E97DFC" w:rsidRDefault="00926E1C" w:rsidP="00926E1C">
            <w:pPr>
              <w:pStyle w:val="ListParagraph"/>
              <w:widowControl w:val="0"/>
              <w:numPr>
                <w:ilvl w:val="0"/>
                <w:numId w:val="4"/>
              </w:numPr>
              <w:autoSpaceDE w:val="0"/>
              <w:autoSpaceDN w:val="0"/>
              <w:spacing w:after="0" w:line="240" w:lineRule="auto"/>
              <w:contextualSpacing w:val="0"/>
              <w:rPr>
                <w:rFonts w:ascii="Arial" w:eastAsia="Arial" w:hAnsi="Arial" w:cs="Arial"/>
                <w:b/>
                <w:vanish/>
                <w:color w:val="auto"/>
                <w:lang w:eastAsia="en-US"/>
              </w:rPr>
            </w:pPr>
          </w:p>
          <w:p w14:paraId="0485E01E" w14:textId="52DE5AA0" w:rsidR="00926E1C" w:rsidRPr="00E97DFC" w:rsidRDefault="00926E1C" w:rsidP="00926E1C">
            <w:pPr>
              <w:pStyle w:val="TableParagraph"/>
              <w:numPr>
                <w:ilvl w:val="1"/>
                <w:numId w:val="4"/>
              </w:numPr>
              <w:ind w:left="431" w:hanging="431"/>
              <w:rPr>
                <w:b/>
                <w:lang w:val="en-GB"/>
              </w:rPr>
            </w:pPr>
            <w:r w:rsidRPr="00E97DFC">
              <w:rPr>
                <w:b/>
                <w:lang w:val="en-GB"/>
              </w:rPr>
              <w:t>2023-2024 Audit Lessons &amp; Improvement Plan</w:t>
            </w:r>
          </w:p>
          <w:p w14:paraId="1EF3967F" w14:textId="77777777" w:rsidR="00926E1C" w:rsidRPr="00E97DFC" w:rsidRDefault="00926E1C" w:rsidP="00926E1C">
            <w:pPr>
              <w:pStyle w:val="TableParagraph"/>
              <w:rPr>
                <w:bCs/>
                <w:lang w:val="en-GB"/>
              </w:rPr>
            </w:pPr>
          </w:p>
          <w:p w14:paraId="01E15770" w14:textId="3D85477A" w:rsidR="00926E1C" w:rsidRPr="00E97DFC" w:rsidRDefault="00926E1C" w:rsidP="00926E1C">
            <w:pPr>
              <w:pStyle w:val="TableParagraph"/>
              <w:rPr>
                <w:bCs/>
                <w:lang w:val="en-GB"/>
              </w:rPr>
            </w:pPr>
            <w:r w:rsidRPr="00E97DFC">
              <w:rPr>
                <w:bCs/>
                <w:lang w:val="en-GB"/>
              </w:rPr>
              <w:t xml:space="preserve">S Taylor presented an update following discussions at the last meeting, where there had been a delay in the audit sign-off. It was agreed at that time to hold a follow-up session with M Speight and K </w:t>
            </w:r>
            <w:r w:rsidRPr="00E97DFC">
              <w:rPr>
                <w:lang w:val="en-GB"/>
              </w:rPr>
              <w:t>Chigwenembe</w:t>
            </w:r>
            <w:r w:rsidRPr="00E97DFC">
              <w:rPr>
                <w:bCs/>
                <w:lang w:val="en-GB"/>
              </w:rPr>
              <w:t xml:space="preserve"> to review the audit process and explore areas for improvement in the </w:t>
            </w:r>
            <w:r w:rsidR="00562AFF" w:rsidRPr="00E97DFC">
              <w:rPr>
                <w:bCs/>
                <w:lang w:val="en-GB"/>
              </w:rPr>
              <w:t>audit approaches</w:t>
            </w:r>
            <w:r w:rsidRPr="00E97DFC">
              <w:rPr>
                <w:bCs/>
                <w:lang w:val="en-GB"/>
              </w:rPr>
              <w:t xml:space="preserve">. This session </w:t>
            </w:r>
            <w:r w:rsidR="00210686" w:rsidRPr="00E97DFC">
              <w:rPr>
                <w:bCs/>
                <w:lang w:val="en-GB"/>
              </w:rPr>
              <w:t xml:space="preserve">had proven useful and had </w:t>
            </w:r>
            <w:r w:rsidRPr="00E97DFC">
              <w:rPr>
                <w:bCs/>
                <w:lang w:val="en-GB"/>
              </w:rPr>
              <w:t xml:space="preserve">led to the production of the </w:t>
            </w:r>
            <w:r w:rsidR="00210686" w:rsidRPr="00E97DFC">
              <w:rPr>
                <w:bCs/>
                <w:lang w:val="en-GB"/>
              </w:rPr>
              <w:t>plan</w:t>
            </w:r>
            <w:r w:rsidRPr="00E97DFC">
              <w:rPr>
                <w:bCs/>
                <w:lang w:val="en-GB"/>
              </w:rPr>
              <w:t>.</w:t>
            </w:r>
          </w:p>
          <w:p w14:paraId="3CE41A3C" w14:textId="77777777" w:rsidR="00926E1C" w:rsidRPr="00E97DFC" w:rsidRDefault="00926E1C" w:rsidP="00926E1C">
            <w:pPr>
              <w:pStyle w:val="TableParagraph"/>
              <w:rPr>
                <w:bCs/>
                <w:lang w:val="en-GB"/>
              </w:rPr>
            </w:pPr>
          </w:p>
          <w:p w14:paraId="50803E93" w14:textId="5C655787" w:rsidR="00D515EC" w:rsidRPr="00E97DFC" w:rsidRDefault="00926E1C" w:rsidP="00926E1C">
            <w:pPr>
              <w:pStyle w:val="TableParagraph"/>
              <w:rPr>
                <w:bCs/>
                <w:lang w:val="en-GB"/>
              </w:rPr>
            </w:pPr>
            <w:r w:rsidRPr="00E97DFC">
              <w:rPr>
                <w:bCs/>
                <w:lang w:val="en-GB"/>
              </w:rPr>
              <w:lastRenderedPageBreak/>
              <w:t>S Taylor reported that there has been progress, with significant work taking place behind the scenes to meet audit requirements. He expressed confidence that the College will meet the necessary obligations</w:t>
            </w:r>
            <w:r w:rsidR="00C452AB" w:rsidRPr="00E97DFC">
              <w:rPr>
                <w:bCs/>
                <w:lang w:val="en-GB"/>
              </w:rPr>
              <w:t>, with work continuing to progress in subsequent years as required to</w:t>
            </w:r>
            <w:r w:rsidR="00D515EC" w:rsidRPr="00E97DFC">
              <w:rPr>
                <w:bCs/>
                <w:lang w:val="en-GB"/>
              </w:rPr>
              <w:t xml:space="preserve"> </w:t>
            </w:r>
            <w:r w:rsidR="005A646A">
              <w:rPr>
                <w:bCs/>
                <w:lang w:val="en-GB"/>
              </w:rPr>
              <w:t xml:space="preserve">further refine and </w:t>
            </w:r>
            <w:r w:rsidR="00D515EC" w:rsidRPr="00E97DFC">
              <w:rPr>
                <w:bCs/>
                <w:lang w:val="en-GB"/>
              </w:rPr>
              <w:t>enhance arrangements.</w:t>
            </w:r>
          </w:p>
          <w:p w14:paraId="4B5907C5" w14:textId="77777777" w:rsidR="00D515EC" w:rsidRPr="00E97DFC" w:rsidRDefault="00D515EC" w:rsidP="00926E1C">
            <w:pPr>
              <w:pStyle w:val="TableParagraph"/>
              <w:rPr>
                <w:bCs/>
                <w:lang w:val="en-GB"/>
              </w:rPr>
            </w:pPr>
          </w:p>
          <w:p w14:paraId="5303D008" w14:textId="2ADA39FD" w:rsidR="00926E1C" w:rsidRPr="00E97DFC" w:rsidRDefault="00926E1C" w:rsidP="00926E1C">
            <w:pPr>
              <w:pStyle w:val="TableParagraph"/>
              <w:rPr>
                <w:bCs/>
                <w:lang w:val="en-GB"/>
              </w:rPr>
            </w:pPr>
            <w:r w:rsidRPr="00E97DFC">
              <w:rPr>
                <w:bCs/>
                <w:lang w:val="en-GB"/>
              </w:rPr>
              <w:t xml:space="preserve">M Speight added that from Mazars’ perspective, the session with David from Henderson Loggie had been productive. He noted that the foundational elements of the audit process are now falling into place. Although this has not been a typical nine-month audit cycle due to earlier delays, a substantial amount of work is required in a condensed timeframe. He acknowledged that while the outcome in the Autumn may not be fully polished, it will set a clear foundation for future audits. </w:t>
            </w:r>
          </w:p>
          <w:p w14:paraId="5450988C" w14:textId="77777777" w:rsidR="00926E1C" w:rsidRPr="00E97DFC" w:rsidRDefault="00926E1C" w:rsidP="00926E1C">
            <w:pPr>
              <w:pStyle w:val="TableParagraph"/>
              <w:rPr>
                <w:bCs/>
                <w:lang w:val="en-GB"/>
              </w:rPr>
            </w:pPr>
          </w:p>
          <w:p w14:paraId="32F9244D" w14:textId="0F761CBB" w:rsidR="00926E1C" w:rsidRPr="00E97DFC" w:rsidRDefault="00926E1C" w:rsidP="00926E1C">
            <w:pPr>
              <w:pStyle w:val="TableParagraph"/>
              <w:rPr>
                <w:bCs/>
                <w:lang w:val="en-GB"/>
              </w:rPr>
            </w:pPr>
            <w:r w:rsidRPr="00E97DFC">
              <w:rPr>
                <w:bCs/>
                <w:lang w:val="en-GB"/>
              </w:rPr>
              <w:t xml:space="preserve">G Bell queried whether the plan presented was a joint </w:t>
            </w:r>
            <w:r w:rsidR="00D303BD" w:rsidRPr="00E97DFC">
              <w:rPr>
                <w:bCs/>
                <w:lang w:val="en-GB"/>
              </w:rPr>
              <w:t>plan</w:t>
            </w:r>
            <w:r w:rsidRPr="00E97DFC">
              <w:rPr>
                <w:bCs/>
                <w:lang w:val="en-GB"/>
              </w:rPr>
              <w:t xml:space="preserve"> between </w:t>
            </w:r>
            <w:r w:rsidR="00D303BD" w:rsidRPr="00E97DFC">
              <w:rPr>
                <w:bCs/>
                <w:lang w:val="en-GB"/>
              </w:rPr>
              <w:t>the College a</w:t>
            </w:r>
            <w:r w:rsidRPr="00E97DFC">
              <w:rPr>
                <w:bCs/>
                <w:lang w:val="en-GB"/>
              </w:rPr>
              <w:t>nd Mazars, or solely a College initiative. S Taylor confirmed that it was a College-led plan designed to support collaborative working and effective information exchange</w:t>
            </w:r>
            <w:r w:rsidR="00D303BD" w:rsidRPr="00E97DFC">
              <w:rPr>
                <w:bCs/>
                <w:lang w:val="en-GB"/>
              </w:rPr>
              <w:t>, but that there were elements for Mazars to undertake too</w:t>
            </w:r>
            <w:r w:rsidRPr="00E97DFC">
              <w:rPr>
                <w:bCs/>
                <w:lang w:val="en-GB"/>
              </w:rPr>
              <w:t xml:space="preserve">. </w:t>
            </w:r>
          </w:p>
          <w:p w14:paraId="1AF277F7" w14:textId="77777777" w:rsidR="00926E1C" w:rsidRPr="00E97DFC" w:rsidRDefault="00926E1C" w:rsidP="00926E1C">
            <w:pPr>
              <w:pStyle w:val="TableParagraph"/>
              <w:rPr>
                <w:bCs/>
                <w:lang w:val="en-GB"/>
              </w:rPr>
            </w:pPr>
          </w:p>
          <w:p w14:paraId="62F0F7F9" w14:textId="77777777" w:rsidR="00926E1C" w:rsidRPr="00E97DFC" w:rsidRDefault="00926E1C" w:rsidP="00926E1C">
            <w:pPr>
              <w:pStyle w:val="TableParagraph"/>
              <w:rPr>
                <w:bCs/>
                <w:lang w:val="en-GB"/>
              </w:rPr>
            </w:pPr>
            <w:r w:rsidRPr="00E97DFC">
              <w:rPr>
                <w:bCs/>
                <w:lang w:val="en-GB"/>
              </w:rPr>
              <w:t xml:space="preserve">G Bell asked whether a corresponding plan from Mazars would be forthcoming. M Speight responded that Mazars did not intend to issue a separate plan, as they had contributed directly to the development of the College’s plan. He identified capital accounting as a significant challenge last year and acknowledged that lessons have been learned. </w:t>
            </w:r>
          </w:p>
          <w:p w14:paraId="516602F8" w14:textId="77777777" w:rsidR="00926E1C" w:rsidRPr="00E97DFC" w:rsidRDefault="00926E1C" w:rsidP="00926E1C">
            <w:pPr>
              <w:pStyle w:val="TableParagraph"/>
              <w:rPr>
                <w:bCs/>
                <w:lang w:val="en-GB"/>
              </w:rPr>
            </w:pPr>
          </w:p>
          <w:p w14:paraId="518CB311" w14:textId="2E7E23DB" w:rsidR="00926E1C" w:rsidRPr="00E97DFC" w:rsidRDefault="00926E1C" w:rsidP="00926E1C">
            <w:pPr>
              <w:pStyle w:val="TableParagraph"/>
              <w:rPr>
                <w:bCs/>
                <w:lang w:val="en-GB"/>
              </w:rPr>
            </w:pPr>
            <w:r w:rsidRPr="00E97DFC">
              <w:rPr>
                <w:bCs/>
                <w:lang w:val="en-GB"/>
              </w:rPr>
              <w:t xml:space="preserve">M Speight highlighted </w:t>
            </w:r>
            <w:r w:rsidR="0017093C">
              <w:rPr>
                <w:bCs/>
                <w:lang w:val="en-GB"/>
              </w:rPr>
              <w:t>further</w:t>
            </w:r>
            <w:r w:rsidRPr="00E97DFC">
              <w:rPr>
                <w:bCs/>
                <w:lang w:val="en-GB"/>
              </w:rPr>
              <w:t xml:space="preserve"> additional complications, such as job evaluation work and the transition of responsibilities within the finance team</w:t>
            </w:r>
            <w:r w:rsidR="007C7E3B" w:rsidRPr="00E97DFC">
              <w:rPr>
                <w:bCs/>
                <w:lang w:val="en-GB"/>
              </w:rPr>
              <w:t xml:space="preserve"> that had also</w:t>
            </w:r>
            <w:r w:rsidRPr="00E97DFC">
              <w:rPr>
                <w:bCs/>
                <w:lang w:val="en-GB"/>
              </w:rPr>
              <w:t xml:space="preserve"> impacted the timing of the audit. He noted that the audit team would be strengthened</w:t>
            </w:r>
            <w:r w:rsidR="007C7E3B" w:rsidRPr="00E97DFC">
              <w:rPr>
                <w:bCs/>
                <w:lang w:val="en-GB"/>
              </w:rPr>
              <w:t xml:space="preserve"> for 2024/</w:t>
            </w:r>
            <w:r w:rsidR="00E455A0">
              <w:rPr>
                <w:bCs/>
                <w:lang w:val="en-GB"/>
              </w:rPr>
              <w:t>2</w:t>
            </w:r>
            <w:r w:rsidR="007C7E3B" w:rsidRPr="00E97DFC">
              <w:rPr>
                <w:bCs/>
                <w:lang w:val="en-GB"/>
              </w:rPr>
              <w:t>5</w:t>
            </w:r>
            <w:r w:rsidRPr="00E97DFC">
              <w:rPr>
                <w:bCs/>
                <w:lang w:val="en-GB"/>
              </w:rPr>
              <w:t xml:space="preserve">, with the return of Ruth from maternity leave and K </w:t>
            </w:r>
            <w:r w:rsidRPr="00E97DFC">
              <w:rPr>
                <w:lang w:val="en-GB"/>
              </w:rPr>
              <w:t>Chigwenembe</w:t>
            </w:r>
            <w:r w:rsidRPr="00E97DFC">
              <w:rPr>
                <w:bCs/>
                <w:lang w:val="en-GB"/>
              </w:rPr>
              <w:t xml:space="preserve"> remaining in post.</w:t>
            </w:r>
          </w:p>
          <w:p w14:paraId="1DBE7E40" w14:textId="77777777" w:rsidR="00926E1C" w:rsidRPr="00E97DFC" w:rsidRDefault="00926E1C" w:rsidP="00926E1C">
            <w:pPr>
              <w:pStyle w:val="TableParagraph"/>
              <w:rPr>
                <w:bCs/>
                <w:lang w:val="en-GB"/>
              </w:rPr>
            </w:pPr>
          </w:p>
          <w:p w14:paraId="2FFE2662" w14:textId="478B8E57" w:rsidR="00926E1C" w:rsidRPr="00E97DFC" w:rsidRDefault="00926E1C" w:rsidP="00926E1C">
            <w:pPr>
              <w:pStyle w:val="TableParagraph"/>
              <w:rPr>
                <w:bCs/>
                <w:lang w:val="en-GB"/>
              </w:rPr>
            </w:pPr>
            <w:r w:rsidRPr="00E97DFC">
              <w:rPr>
                <w:bCs/>
                <w:lang w:val="en-GB"/>
              </w:rPr>
              <w:t xml:space="preserve">S Taylor added that the joint elements referenced in the paper are </w:t>
            </w:r>
            <w:r w:rsidR="00FD36B8" w:rsidRPr="00E97DFC">
              <w:rPr>
                <w:bCs/>
                <w:lang w:val="en-GB"/>
              </w:rPr>
              <w:t>p</w:t>
            </w:r>
            <w:r w:rsidRPr="00E97DFC">
              <w:rPr>
                <w:bCs/>
                <w:lang w:val="en-GB"/>
              </w:rPr>
              <w:t>ractical, focusing on the audit timetable, the timely sharing of documentation, and maintaining consistent arrangements rather than implementing significant changes.</w:t>
            </w:r>
          </w:p>
          <w:p w14:paraId="44133BDE" w14:textId="77777777" w:rsidR="00926E1C" w:rsidRPr="00E97DFC" w:rsidRDefault="00926E1C" w:rsidP="00926E1C">
            <w:pPr>
              <w:pStyle w:val="TableParagraph"/>
              <w:rPr>
                <w:bCs/>
                <w:lang w:val="en-GB"/>
              </w:rPr>
            </w:pPr>
          </w:p>
          <w:p w14:paraId="2934E823" w14:textId="24195D66" w:rsidR="00926E1C" w:rsidRPr="005C6807" w:rsidRDefault="00926E1C" w:rsidP="00926E1C">
            <w:pPr>
              <w:pStyle w:val="TableParagraph"/>
              <w:rPr>
                <w:b/>
                <w:lang w:val="en-GB"/>
              </w:rPr>
            </w:pPr>
            <w:r w:rsidRPr="00E97DFC">
              <w:rPr>
                <w:bCs/>
                <w:lang w:val="en-GB"/>
              </w:rPr>
              <w:t>H Honeyman highlighted the importance of communication with the Audit and Risk Committee</w:t>
            </w:r>
            <w:r w:rsidR="00FD36B8" w:rsidRPr="00E97DFC">
              <w:rPr>
                <w:bCs/>
                <w:lang w:val="en-GB"/>
              </w:rPr>
              <w:t xml:space="preserve"> should there be any risk of delays in 2025</w:t>
            </w:r>
            <w:r w:rsidRPr="00E97DFC">
              <w:rPr>
                <w:bCs/>
                <w:lang w:val="en-GB"/>
              </w:rPr>
              <w:t xml:space="preserve">. She noted that while the process may not be perfect, regular updates are essential to provide assurance that progress is being made. She </w:t>
            </w:r>
            <w:r w:rsidR="00DE6513" w:rsidRPr="00E97DFC">
              <w:rPr>
                <w:bCs/>
                <w:lang w:val="en-GB"/>
              </w:rPr>
              <w:t xml:space="preserve">asked that a further progress update </w:t>
            </w:r>
            <w:r w:rsidRPr="00E97DFC">
              <w:rPr>
                <w:bCs/>
                <w:lang w:val="en-GB"/>
              </w:rPr>
              <w:t>be presented at the next committee meeting</w:t>
            </w:r>
            <w:r w:rsidR="00DE6513" w:rsidRPr="00E97DFC">
              <w:rPr>
                <w:bCs/>
                <w:lang w:val="en-GB"/>
              </w:rPr>
              <w:t xml:space="preserve">.  This was agreed, </w:t>
            </w:r>
            <w:r w:rsidR="005C6807" w:rsidRPr="005C6807">
              <w:rPr>
                <w:b/>
                <w:lang w:val="en-GB"/>
              </w:rPr>
              <w:t>N</w:t>
            </w:r>
            <w:r w:rsidR="005C6807">
              <w:rPr>
                <w:b/>
                <w:lang w:val="en-GB"/>
              </w:rPr>
              <w:t> </w:t>
            </w:r>
            <w:r w:rsidR="005C6807" w:rsidRPr="005C6807">
              <w:rPr>
                <w:b/>
                <w:lang w:val="en-GB"/>
              </w:rPr>
              <w:t>Anderson</w:t>
            </w:r>
            <w:r w:rsidR="00DE6513" w:rsidRPr="005C6807">
              <w:rPr>
                <w:b/>
                <w:lang w:val="en-GB"/>
              </w:rPr>
              <w:t xml:space="preserve"> to progress.</w:t>
            </w:r>
          </w:p>
          <w:p w14:paraId="57FA3D56" w14:textId="77777777" w:rsidR="00DE6513" w:rsidRPr="00E97DFC" w:rsidRDefault="00DE6513" w:rsidP="00926E1C">
            <w:pPr>
              <w:pStyle w:val="TableParagraph"/>
              <w:rPr>
                <w:b/>
                <w:lang w:val="en-GB"/>
              </w:rPr>
            </w:pPr>
          </w:p>
          <w:p w14:paraId="6E207987" w14:textId="31DA7E3C" w:rsidR="00911E27" w:rsidRPr="00E97DFC" w:rsidRDefault="00646305" w:rsidP="00646305">
            <w:pPr>
              <w:pStyle w:val="TableParagraph"/>
              <w:numPr>
                <w:ilvl w:val="1"/>
                <w:numId w:val="4"/>
              </w:numPr>
              <w:ind w:left="431" w:hanging="431"/>
              <w:rPr>
                <w:b/>
                <w:lang w:val="en-GB"/>
              </w:rPr>
            </w:pPr>
            <w:r w:rsidRPr="00E97DFC">
              <w:rPr>
                <w:b/>
                <w:lang w:val="en-GB"/>
              </w:rPr>
              <w:t xml:space="preserve">2024/25 </w:t>
            </w:r>
            <w:r w:rsidR="00911E27" w:rsidRPr="00E97DFC">
              <w:rPr>
                <w:b/>
                <w:lang w:val="en-GB"/>
              </w:rPr>
              <w:t>Audit Plan</w:t>
            </w:r>
          </w:p>
          <w:p w14:paraId="6EE32FA5" w14:textId="77777777" w:rsidR="00911E27" w:rsidRPr="00E97DFC" w:rsidRDefault="00911E27" w:rsidP="00911E27">
            <w:pPr>
              <w:pStyle w:val="TableParagraph"/>
              <w:rPr>
                <w:bCs/>
                <w:lang w:val="en-GB"/>
              </w:rPr>
            </w:pPr>
          </w:p>
          <w:p w14:paraId="1CA7B3AC" w14:textId="2F82D761" w:rsidR="00911E27" w:rsidRPr="00E97DFC" w:rsidRDefault="00911E27" w:rsidP="00911E27">
            <w:pPr>
              <w:pStyle w:val="TableParagraph"/>
              <w:rPr>
                <w:bCs/>
                <w:lang w:val="en-GB"/>
              </w:rPr>
            </w:pPr>
            <w:r w:rsidRPr="00E97DFC">
              <w:rPr>
                <w:bCs/>
                <w:lang w:val="en-GB"/>
              </w:rPr>
              <w:t xml:space="preserve">M Speight provided an overview of the </w:t>
            </w:r>
            <w:r w:rsidR="00E455A0">
              <w:rPr>
                <w:bCs/>
                <w:lang w:val="en-GB"/>
              </w:rPr>
              <w:t xml:space="preserve">2024/25 </w:t>
            </w:r>
            <w:r w:rsidRPr="00E97DFC">
              <w:rPr>
                <w:bCs/>
                <w:lang w:val="en-GB"/>
              </w:rPr>
              <w:t>annual audit plan. He reported that planning discussions were held with the Finance team the previous week. The primary objective is to achieve as much consistency as possible throughout the audit process, which is expected to be beneficial.</w:t>
            </w:r>
          </w:p>
          <w:p w14:paraId="68A48228" w14:textId="77777777" w:rsidR="00911E27" w:rsidRPr="00E97DFC" w:rsidRDefault="00911E27" w:rsidP="00911E27">
            <w:pPr>
              <w:pStyle w:val="TableParagraph"/>
              <w:rPr>
                <w:bCs/>
                <w:lang w:val="en-GB"/>
              </w:rPr>
            </w:pPr>
          </w:p>
          <w:p w14:paraId="232DFE26" w14:textId="412AC6BE" w:rsidR="00A25189" w:rsidRPr="00E97DFC" w:rsidRDefault="00911E27" w:rsidP="00911E27">
            <w:pPr>
              <w:pStyle w:val="TableParagraph"/>
              <w:rPr>
                <w:bCs/>
                <w:lang w:val="en-GB"/>
              </w:rPr>
            </w:pPr>
            <w:r w:rsidRPr="00E97DFC">
              <w:rPr>
                <w:bCs/>
                <w:lang w:val="en-GB"/>
              </w:rPr>
              <w:t xml:space="preserve">Regarding areas of Audit and Risk, M Speight reminded the </w:t>
            </w:r>
            <w:r w:rsidR="000B472D">
              <w:rPr>
                <w:bCs/>
                <w:lang w:val="en-GB"/>
              </w:rPr>
              <w:t>C</w:t>
            </w:r>
            <w:r w:rsidRPr="00E97DFC">
              <w:rPr>
                <w:bCs/>
                <w:lang w:val="en-GB"/>
              </w:rPr>
              <w:t xml:space="preserve">ommittee that, consistent with </w:t>
            </w:r>
            <w:r w:rsidR="000B472D">
              <w:rPr>
                <w:bCs/>
                <w:lang w:val="en-GB"/>
              </w:rPr>
              <w:t xml:space="preserve">required audit standards </w:t>
            </w:r>
            <w:r w:rsidRPr="00E97DFC">
              <w:rPr>
                <w:bCs/>
                <w:lang w:val="en-GB"/>
              </w:rPr>
              <w:t>the previous year</w:t>
            </w:r>
            <w:r w:rsidR="000B472D">
              <w:rPr>
                <w:bCs/>
                <w:lang w:val="en-GB"/>
              </w:rPr>
              <w:t>s</w:t>
            </w:r>
            <w:r w:rsidRPr="00E97DFC">
              <w:rPr>
                <w:bCs/>
                <w:lang w:val="en-GB"/>
              </w:rPr>
              <w:t xml:space="preserve">, general ledger entries </w:t>
            </w:r>
            <w:r w:rsidR="00225AE5" w:rsidRPr="00E97DFC">
              <w:rPr>
                <w:bCs/>
                <w:lang w:val="en-GB"/>
              </w:rPr>
              <w:t>and r</w:t>
            </w:r>
            <w:r w:rsidRPr="00E97DFC">
              <w:rPr>
                <w:bCs/>
                <w:lang w:val="en-GB"/>
              </w:rPr>
              <w:t xml:space="preserve">evenue recognition </w:t>
            </w:r>
            <w:r w:rsidR="00225AE5" w:rsidRPr="00E97DFC">
              <w:rPr>
                <w:bCs/>
                <w:lang w:val="en-GB"/>
              </w:rPr>
              <w:t>would be featured as standard audit items</w:t>
            </w:r>
            <w:r w:rsidR="006C761E">
              <w:rPr>
                <w:bCs/>
                <w:lang w:val="en-GB"/>
              </w:rPr>
              <w:t>.</w:t>
            </w:r>
          </w:p>
          <w:p w14:paraId="5C240A45" w14:textId="77777777" w:rsidR="00911E27" w:rsidRPr="00E97DFC" w:rsidRDefault="00911E27" w:rsidP="00911E27">
            <w:pPr>
              <w:pStyle w:val="TableParagraph"/>
              <w:rPr>
                <w:b/>
                <w:lang w:val="en-GB"/>
              </w:rPr>
            </w:pPr>
          </w:p>
          <w:p w14:paraId="6DAAF3A6" w14:textId="36C4F66D" w:rsidR="00911E27" w:rsidRPr="00E97DFC" w:rsidRDefault="00911E27" w:rsidP="00911E27">
            <w:pPr>
              <w:pStyle w:val="TableParagraph"/>
              <w:rPr>
                <w:bCs/>
                <w:lang w:val="en-GB"/>
              </w:rPr>
            </w:pPr>
            <w:r w:rsidRPr="00E97DFC">
              <w:rPr>
                <w:bCs/>
                <w:lang w:val="en-GB"/>
              </w:rPr>
              <w:t xml:space="preserve">The Tayside Pension Fund </w:t>
            </w:r>
            <w:r w:rsidR="00A25189" w:rsidRPr="00E97DFC">
              <w:rPr>
                <w:bCs/>
                <w:lang w:val="en-GB"/>
              </w:rPr>
              <w:t xml:space="preserve">valuation </w:t>
            </w:r>
            <w:r w:rsidRPr="00E97DFC">
              <w:rPr>
                <w:bCs/>
                <w:lang w:val="en-GB"/>
              </w:rPr>
              <w:t>was highlighted as another area of focus</w:t>
            </w:r>
            <w:r w:rsidR="00A25189" w:rsidRPr="00E97DFC">
              <w:rPr>
                <w:bCs/>
                <w:lang w:val="en-GB"/>
              </w:rPr>
              <w:t xml:space="preserve"> and an </w:t>
            </w:r>
            <w:r w:rsidRPr="00E97DFC">
              <w:rPr>
                <w:bCs/>
                <w:lang w:val="en-GB"/>
              </w:rPr>
              <w:t xml:space="preserve">internal specialist will review these complex areas, noting that the College has a relatively small percentage of the overall pension fund allocated to it. </w:t>
            </w:r>
          </w:p>
          <w:p w14:paraId="52520770" w14:textId="77777777" w:rsidR="00911E27" w:rsidRPr="00E97DFC" w:rsidRDefault="00911E27" w:rsidP="00911E27">
            <w:pPr>
              <w:pStyle w:val="TableParagraph"/>
              <w:rPr>
                <w:b/>
                <w:lang w:val="en-GB"/>
              </w:rPr>
            </w:pPr>
          </w:p>
          <w:p w14:paraId="337BE43F" w14:textId="19FDD56E" w:rsidR="00911E27" w:rsidRPr="00E97DFC" w:rsidRDefault="00911E27" w:rsidP="00911E27">
            <w:pPr>
              <w:pStyle w:val="TableParagraph"/>
              <w:rPr>
                <w:bCs/>
                <w:lang w:val="en-GB"/>
              </w:rPr>
            </w:pPr>
            <w:r w:rsidRPr="00E97DFC">
              <w:rPr>
                <w:bCs/>
                <w:lang w:val="en-GB"/>
              </w:rPr>
              <w:t xml:space="preserve">M Speight highlighted that the valuation estimates recorded in the financial statements, particularly those pertaining to land and buildings, will be subject to detailed scrutiny. </w:t>
            </w:r>
            <w:r w:rsidR="00246C26" w:rsidRPr="00E97DFC">
              <w:rPr>
                <w:bCs/>
                <w:lang w:val="en-GB"/>
              </w:rPr>
              <w:t xml:space="preserve"> </w:t>
            </w:r>
            <w:r w:rsidRPr="00E97DFC">
              <w:rPr>
                <w:bCs/>
                <w:lang w:val="en-GB"/>
              </w:rPr>
              <w:t>H</w:t>
            </w:r>
            <w:r w:rsidR="00215F20" w:rsidRPr="00E97DFC">
              <w:rPr>
                <w:bCs/>
                <w:lang w:val="en-GB"/>
              </w:rPr>
              <w:t> H</w:t>
            </w:r>
            <w:r w:rsidRPr="00E97DFC">
              <w:rPr>
                <w:bCs/>
                <w:lang w:val="en-GB"/>
              </w:rPr>
              <w:t xml:space="preserve">oneyman asked whether the College </w:t>
            </w:r>
            <w:r w:rsidR="00215F20" w:rsidRPr="00E97DFC">
              <w:rPr>
                <w:bCs/>
                <w:lang w:val="en-GB"/>
              </w:rPr>
              <w:t>was</w:t>
            </w:r>
            <w:r w:rsidRPr="00E97DFC">
              <w:rPr>
                <w:bCs/>
                <w:lang w:val="en-GB"/>
              </w:rPr>
              <w:t xml:space="preserve"> ahead in t</w:t>
            </w:r>
            <w:r w:rsidR="00215F20" w:rsidRPr="00E97DFC">
              <w:rPr>
                <w:bCs/>
                <w:lang w:val="en-GB"/>
              </w:rPr>
              <w:t xml:space="preserve">erms of the </w:t>
            </w:r>
            <w:r w:rsidR="00112D23" w:rsidRPr="00E97DFC">
              <w:rPr>
                <w:bCs/>
                <w:lang w:val="en-GB"/>
              </w:rPr>
              <w:t>valuation work undertaken for the 2023/4 audit and</w:t>
            </w:r>
            <w:r w:rsidRPr="00E97DFC">
              <w:rPr>
                <w:bCs/>
                <w:lang w:val="en-GB"/>
              </w:rPr>
              <w:t xml:space="preserve"> N Anderson confirmed that a full revaluation </w:t>
            </w:r>
            <w:r w:rsidR="00112D23" w:rsidRPr="00E97DFC">
              <w:rPr>
                <w:bCs/>
                <w:lang w:val="en-GB"/>
              </w:rPr>
              <w:t>was</w:t>
            </w:r>
            <w:r w:rsidRPr="00E97DFC">
              <w:rPr>
                <w:bCs/>
                <w:lang w:val="en-GB"/>
              </w:rPr>
              <w:t xml:space="preserve"> planned for this year.</w:t>
            </w:r>
          </w:p>
          <w:p w14:paraId="32F01C1B" w14:textId="77777777" w:rsidR="00911E27" w:rsidRPr="00E97DFC" w:rsidRDefault="00911E27" w:rsidP="00911E27">
            <w:pPr>
              <w:pStyle w:val="TableParagraph"/>
              <w:rPr>
                <w:b/>
                <w:lang w:val="en-GB"/>
              </w:rPr>
            </w:pPr>
          </w:p>
          <w:p w14:paraId="04B4998D" w14:textId="77777777" w:rsidR="00112D23" w:rsidRPr="00E97DFC" w:rsidRDefault="00112D23" w:rsidP="00911E27">
            <w:pPr>
              <w:pStyle w:val="TableParagraph"/>
              <w:rPr>
                <w:b/>
                <w:lang w:val="en-GB"/>
              </w:rPr>
            </w:pPr>
          </w:p>
          <w:p w14:paraId="4072FBC5" w14:textId="6BD12BBD" w:rsidR="00911E27" w:rsidRPr="00E97DFC" w:rsidRDefault="00911E27" w:rsidP="00911E27">
            <w:pPr>
              <w:pStyle w:val="TableParagraph"/>
              <w:rPr>
                <w:bCs/>
                <w:lang w:val="en-GB"/>
              </w:rPr>
            </w:pPr>
            <w:r w:rsidRPr="00E97DFC">
              <w:rPr>
                <w:bCs/>
                <w:lang w:val="en-GB"/>
              </w:rPr>
              <w:t xml:space="preserve">M Speight clarified that the valuation will be a full valuation, and this detail will be amended in the final </w:t>
            </w:r>
            <w:r w:rsidR="00112D23" w:rsidRPr="00E97DFC">
              <w:rPr>
                <w:bCs/>
                <w:lang w:val="en-GB"/>
              </w:rPr>
              <w:t>audit plan</w:t>
            </w:r>
            <w:r w:rsidRPr="00E97DFC">
              <w:rPr>
                <w:bCs/>
                <w:lang w:val="en-GB"/>
              </w:rPr>
              <w:t xml:space="preserve"> to ensure accuracy. </w:t>
            </w:r>
          </w:p>
          <w:p w14:paraId="163184BE" w14:textId="77777777" w:rsidR="00911E27" w:rsidRPr="00E97DFC" w:rsidRDefault="00911E27" w:rsidP="00911E27">
            <w:pPr>
              <w:pStyle w:val="TableParagraph"/>
              <w:rPr>
                <w:b/>
                <w:lang w:val="en-GB"/>
              </w:rPr>
            </w:pPr>
          </w:p>
          <w:p w14:paraId="3874DDCA" w14:textId="1F950442" w:rsidR="0061136A" w:rsidRPr="00E97DFC" w:rsidRDefault="00911E27" w:rsidP="00911E27">
            <w:pPr>
              <w:pStyle w:val="TableParagraph"/>
              <w:rPr>
                <w:bCs/>
                <w:lang w:val="en-GB"/>
              </w:rPr>
            </w:pPr>
            <w:r w:rsidRPr="00E97DFC">
              <w:rPr>
                <w:bCs/>
                <w:lang w:val="en-GB"/>
              </w:rPr>
              <w:t>M Speight reported that the job evaluation scheme continues to present a sector-wide challenge</w:t>
            </w:r>
            <w:r w:rsidR="002E69F7" w:rsidRPr="00E97DFC">
              <w:rPr>
                <w:bCs/>
                <w:lang w:val="en-GB"/>
              </w:rPr>
              <w:t xml:space="preserve"> and will feature again in the audit</w:t>
            </w:r>
            <w:r w:rsidRPr="00E97DFC">
              <w:rPr>
                <w:bCs/>
                <w:lang w:val="en-GB"/>
              </w:rPr>
              <w:t>.</w:t>
            </w:r>
            <w:r w:rsidR="001E4F12">
              <w:rPr>
                <w:bCs/>
                <w:lang w:val="en-GB"/>
              </w:rPr>
              <w:t xml:space="preserve"> </w:t>
            </w:r>
            <w:r w:rsidRPr="00E97DFC">
              <w:rPr>
                <w:bCs/>
                <w:lang w:val="en-GB"/>
              </w:rPr>
              <w:t xml:space="preserve">He noted that </w:t>
            </w:r>
            <w:r w:rsidR="00C03174" w:rsidRPr="00E97DFC">
              <w:rPr>
                <w:bCs/>
                <w:lang w:val="en-GB"/>
              </w:rPr>
              <w:t>the Scottish Funding Council had advised that the pub</w:t>
            </w:r>
            <w:r w:rsidRPr="00E97DFC">
              <w:rPr>
                <w:bCs/>
                <w:lang w:val="en-GB"/>
              </w:rPr>
              <w:t xml:space="preserve">lication of the 2024/25 </w:t>
            </w:r>
            <w:r w:rsidR="00C03174" w:rsidRPr="00E97DFC">
              <w:rPr>
                <w:bCs/>
                <w:lang w:val="en-GB"/>
              </w:rPr>
              <w:t xml:space="preserve">audit guidance will be </w:t>
            </w:r>
            <w:r w:rsidRPr="00E97DFC">
              <w:rPr>
                <w:bCs/>
                <w:lang w:val="en-GB"/>
              </w:rPr>
              <w:t xml:space="preserve">in July 2025, with </w:t>
            </w:r>
            <w:r w:rsidR="0061136A" w:rsidRPr="00E97DFC">
              <w:rPr>
                <w:bCs/>
                <w:lang w:val="en-GB"/>
              </w:rPr>
              <w:t xml:space="preserve">the </w:t>
            </w:r>
            <w:r w:rsidRPr="00E97DFC">
              <w:rPr>
                <w:bCs/>
                <w:lang w:val="en-GB"/>
              </w:rPr>
              <w:t>expectation</w:t>
            </w:r>
            <w:r w:rsidR="0061136A" w:rsidRPr="00E97DFC">
              <w:rPr>
                <w:bCs/>
                <w:lang w:val="en-GB"/>
              </w:rPr>
              <w:t xml:space="preserve"> that this would be </w:t>
            </w:r>
            <w:r w:rsidRPr="00E97DFC">
              <w:rPr>
                <w:bCs/>
                <w:lang w:val="en-GB"/>
              </w:rPr>
              <w:t xml:space="preserve">consistent with </w:t>
            </w:r>
            <w:r w:rsidR="0061136A" w:rsidRPr="00E97DFC">
              <w:rPr>
                <w:bCs/>
                <w:lang w:val="en-GB"/>
              </w:rPr>
              <w:t>the 2023/24 guidance.</w:t>
            </w:r>
          </w:p>
          <w:p w14:paraId="5A9DEE69" w14:textId="77777777" w:rsidR="0061136A" w:rsidRPr="00E97DFC" w:rsidRDefault="0061136A" w:rsidP="00911E27">
            <w:pPr>
              <w:pStyle w:val="TableParagraph"/>
              <w:rPr>
                <w:bCs/>
                <w:lang w:val="en-GB"/>
              </w:rPr>
            </w:pPr>
          </w:p>
          <w:p w14:paraId="04BE2E24" w14:textId="4B300616" w:rsidR="00911E27" w:rsidRPr="00E97DFC" w:rsidRDefault="00911E27" w:rsidP="00911E27">
            <w:pPr>
              <w:pStyle w:val="TableParagraph"/>
              <w:rPr>
                <w:b/>
                <w:lang w:val="en-GB"/>
              </w:rPr>
            </w:pPr>
            <w:r w:rsidRPr="00E97DFC">
              <w:rPr>
                <w:bCs/>
                <w:lang w:val="en-GB"/>
              </w:rPr>
              <w:t xml:space="preserve">As the </w:t>
            </w:r>
            <w:r w:rsidR="00C879E7" w:rsidRPr="00E97DFC">
              <w:rPr>
                <w:bCs/>
                <w:lang w:val="en-GB"/>
              </w:rPr>
              <w:t xml:space="preserve">Job Evaluation project was being </w:t>
            </w:r>
            <w:r w:rsidR="00730C2F" w:rsidRPr="00E97DFC">
              <w:rPr>
                <w:bCs/>
                <w:lang w:val="en-GB"/>
              </w:rPr>
              <w:t>progressed</w:t>
            </w:r>
            <w:r w:rsidRPr="00E97DFC">
              <w:rPr>
                <w:bCs/>
                <w:lang w:val="en-GB"/>
              </w:rPr>
              <w:t>, the current basis for th</w:t>
            </w:r>
            <w:r w:rsidR="00CB33BE" w:rsidRPr="00E97DFC">
              <w:rPr>
                <w:bCs/>
                <w:lang w:val="en-GB"/>
              </w:rPr>
              <w:t>e</w:t>
            </w:r>
            <w:r w:rsidRPr="00E97DFC">
              <w:rPr>
                <w:bCs/>
                <w:lang w:val="en-GB"/>
              </w:rPr>
              <w:t xml:space="preserve"> calculation may become outdated over time, potentially impacting financial reporting over a period ranging from six months to several years. Although this is not regarded as a significant risk at present, it remains important to keep the matter under review, with the possibility that </w:t>
            </w:r>
            <w:r w:rsidR="00D408A9">
              <w:rPr>
                <w:bCs/>
                <w:lang w:val="en-GB"/>
              </w:rPr>
              <w:t xml:space="preserve">an </w:t>
            </w:r>
            <w:r w:rsidRPr="00E97DFC">
              <w:rPr>
                <w:bCs/>
                <w:lang w:val="en-GB"/>
              </w:rPr>
              <w:t xml:space="preserve">alternative </w:t>
            </w:r>
            <w:r w:rsidR="00D408A9">
              <w:rPr>
                <w:bCs/>
                <w:lang w:val="en-GB"/>
              </w:rPr>
              <w:t>approach</w:t>
            </w:r>
            <w:r w:rsidRPr="00E97DFC">
              <w:rPr>
                <w:bCs/>
                <w:lang w:val="en-GB"/>
              </w:rPr>
              <w:t xml:space="preserve"> of calculation may be required</w:t>
            </w:r>
            <w:r w:rsidR="00D408A9">
              <w:rPr>
                <w:bCs/>
                <w:lang w:val="en-GB"/>
              </w:rPr>
              <w:t xml:space="preserve"> as the project nears implementation</w:t>
            </w:r>
            <w:r w:rsidRPr="00E97DFC">
              <w:rPr>
                <w:bCs/>
                <w:lang w:val="en-GB"/>
              </w:rPr>
              <w:t xml:space="preserve">. This issue is relevant across the entire sector and does not specifically affect Dundee &amp; Angus College. </w:t>
            </w:r>
          </w:p>
          <w:p w14:paraId="0EFCC8A3" w14:textId="77777777" w:rsidR="00911E27" w:rsidRPr="00E97DFC" w:rsidRDefault="00911E27" w:rsidP="00911E27">
            <w:pPr>
              <w:pStyle w:val="TableParagraph"/>
              <w:rPr>
                <w:bCs/>
                <w:lang w:val="en-GB"/>
              </w:rPr>
            </w:pPr>
          </w:p>
          <w:p w14:paraId="12A9D97A" w14:textId="77777777" w:rsidR="00911E27" w:rsidRPr="00E97DFC" w:rsidRDefault="00911E27" w:rsidP="00911E27">
            <w:pPr>
              <w:pStyle w:val="TableParagraph"/>
              <w:rPr>
                <w:bCs/>
                <w:lang w:val="en-GB"/>
              </w:rPr>
            </w:pPr>
            <w:r w:rsidRPr="00E97DFC">
              <w:rPr>
                <w:bCs/>
                <w:lang w:val="en-GB"/>
              </w:rPr>
              <w:t>M Speight noted that financial sustainability is flagged as a sector-wide risk, though there are no specific concerns for Dundee &amp; Angus College. Other institutions may be in more challenging positions.</w:t>
            </w:r>
          </w:p>
          <w:p w14:paraId="1908E302" w14:textId="77777777" w:rsidR="00911E27" w:rsidRPr="00E97DFC" w:rsidRDefault="00911E27" w:rsidP="00911E27">
            <w:pPr>
              <w:pStyle w:val="TableParagraph"/>
              <w:rPr>
                <w:bCs/>
                <w:lang w:val="en-GB"/>
              </w:rPr>
            </w:pPr>
          </w:p>
          <w:p w14:paraId="04F9745C" w14:textId="77777777" w:rsidR="00911E27" w:rsidRPr="00E97DFC" w:rsidRDefault="00911E27" w:rsidP="00911E27">
            <w:pPr>
              <w:pStyle w:val="TableParagraph"/>
              <w:rPr>
                <w:bCs/>
                <w:lang w:val="en-GB"/>
              </w:rPr>
            </w:pPr>
            <w:r w:rsidRPr="00E97DFC">
              <w:rPr>
                <w:bCs/>
                <w:lang w:val="en-GB"/>
              </w:rPr>
              <w:t>H Honeyman enquired about an increase in audit fees, to which M Speight explained that Audit Scotland set the fees, which have risen in line with salary inflation figures.</w:t>
            </w:r>
          </w:p>
          <w:p w14:paraId="70F19C79" w14:textId="77777777" w:rsidR="00911E27" w:rsidRPr="00E97DFC" w:rsidRDefault="00911E27" w:rsidP="00911E27">
            <w:pPr>
              <w:pStyle w:val="TableParagraph"/>
              <w:rPr>
                <w:bCs/>
                <w:lang w:val="en-GB"/>
              </w:rPr>
            </w:pPr>
          </w:p>
          <w:p w14:paraId="000CD0DC" w14:textId="77777777" w:rsidR="00911E27" w:rsidRPr="00E97DFC" w:rsidRDefault="00911E27" w:rsidP="00911E27">
            <w:pPr>
              <w:pStyle w:val="TableParagraph"/>
              <w:rPr>
                <w:bCs/>
                <w:lang w:val="en-GB"/>
              </w:rPr>
            </w:pPr>
            <w:r w:rsidRPr="00E97DFC">
              <w:rPr>
                <w:bCs/>
                <w:lang w:val="en-GB"/>
              </w:rPr>
              <w:t>H Honeyman thanked Mazars for their input and update.</w:t>
            </w:r>
          </w:p>
          <w:p w14:paraId="710660C9" w14:textId="303349B9" w:rsidR="00911E27" w:rsidRPr="00E97DFC" w:rsidRDefault="00911E27" w:rsidP="00926E1C">
            <w:pPr>
              <w:pStyle w:val="TableParagraph"/>
              <w:rPr>
                <w:b/>
                <w:lang w:val="en-GB"/>
              </w:rPr>
            </w:pPr>
          </w:p>
        </w:tc>
      </w:tr>
      <w:tr w:rsidR="00044AE9" w:rsidRPr="00E97DFC" w14:paraId="6D604D9C" w14:textId="77777777" w:rsidTr="00044AE9">
        <w:trPr>
          <w:trHeight w:val="1415"/>
        </w:trPr>
        <w:tc>
          <w:tcPr>
            <w:tcW w:w="426" w:type="dxa"/>
          </w:tcPr>
          <w:p w14:paraId="394874D2"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2BB68138" w14:textId="77777777" w:rsidR="00044AE9" w:rsidRPr="00E97DFC" w:rsidRDefault="00044AE9" w:rsidP="001D07FA">
            <w:pPr>
              <w:pStyle w:val="TableParagraph"/>
              <w:rPr>
                <w:b/>
                <w:lang w:val="en-GB"/>
              </w:rPr>
            </w:pPr>
            <w:r w:rsidRPr="00E97DFC">
              <w:rPr>
                <w:b/>
                <w:lang w:val="en-GB"/>
              </w:rPr>
              <w:t>INTERNAL AUDIT</w:t>
            </w:r>
          </w:p>
          <w:p w14:paraId="13880E86" w14:textId="77777777" w:rsidR="00044AE9" w:rsidRPr="00E97DFC" w:rsidRDefault="00044AE9" w:rsidP="001D07FA">
            <w:pPr>
              <w:pStyle w:val="TableParagraph"/>
              <w:rPr>
                <w:b/>
                <w:lang w:val="en-GB"/>
              </w:rPr>
            </w:pPr>
          </w:p>
          <w:p w14:paraId="729CA6B2"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5A5580D7"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37CEC18D"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7739A6F2"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514AE15F"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72B88567"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310AD34B" w14:textId="77777777" w:rsidR="005E1168" w:rsidRPr="00E97DFC" w:rsidRDefault="005E1168" w:rsidP="005E1168">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62319509" w14:textId="2BE2A619" w:rsidR="00044AE9" w:rsidRPr="00E97DFC" w:rsidRDefault="00044AE9" w:rsidP="005E1168">
            <w:pPr>
              <w:pStyle w:val="TableParagraph"/>
              <w:numPr>
                <w:ilvl w:val="1"/>
                <w:numId w:val="2"/>
              </w:numPr>
              <w:ind w:left="431" w:hanging="431"/>
              <w:rPr>
                <w:b/>
                <w:lang w:val="en-GB"/>
              </w:rPr>
            </w:pPr>
            <w:r w:rsidRPr="00E97DFC">
              <w:rPr>
                <w:b/>
                <w:lang w:val="en-GB"/>
              </w:rPr>
              <w:t>Payroll</w:t>
            </w:r>
          </w:p>
          <w:p w14:paraId="3C3BE1F0" w14:textId="77777777" w:rsidR="00044AE9" w:rsidRPr="00E97DFC" w:rsidRDefault="00044AE9" w:rsidP="00C05914">
            <w:pPr>
              <w:pStyle w:val="TableParagraph"/>
              <w:rPr>
                <w:bCs/>
                <w:lang w:val="en-GB"/>
              </w:rPr>
            </w:pPr>
          </w:p>
          <w:p w14:paraId="40A5D59B" w14:textId="44C555C2" w:rsidR="00044AE9" w:rsidRPr="00E97DFC" w:rsidRDefault="00044AE9" w:rsidP="0092277D">
            <w:pPr>
              <w:pStyle w:val="TableParagraph"/>
              <w:rPr>
                <w:bCs/>
                <w:lang w:val="en-GB"/>
              </w:rPr>
            </w:pPr>
            <w:r w:rsidRPr="00E97DFC">
              <w:rPr>
                <w:bCs/>
                <w:lang w:val="en-GB"/>
              </w:rPr>
              <w:t>S McNaught presented the findings of the recent internal audit of payroll. The audit focused on internal controls around staff costs, which represent a significant portion of the overall budget. The review covered both the People Team and the Payroll Team.</w:t>
            </w:r>
          </w:p>
          <w:p w14:paraId="383917F0" w14:textId="77777777" w:rsidR="00044AE9" w:rsidRPr="00E97DFC" w:rsidRDefault="00044AE9" w:rsidP="0092277D">
            <w:pPr>
              <w:pStyle w:val="TableParagraph"/>
              <w:rPr>
                <w:bCs/>
                <w:lang w:val="en-GB"/>
              </w:rPr>
            </w:pPr>
          </w:p>
          <w:p w14:paraId="35006557" w14:textId="6A6214A1" w:rsidR="00044AE9" w:rsidRPr="00E97DFC" w:rsidRDefault="00044AE9" w:rsidP="0092277D">
            <w:pPr>
              <w:pStyle w:val="TableParagraph"/>
              <w:rPr>
                <w:bCs/>
                <w:lang w:val="en-GB"/>
              </w:rPr>
            </w:pPr>
            <w:r w:rsidRPr="00E97DFC">
              <w:rPr>
                <w:bCs/>
                <w:lang w:val="en-GB"/>
              </w:rPr>
              <w:t>The audit outcome was positive, with a good level of assurance provided and no</w:t>
            </w:r>
            <w:r w:rsidR="00006E0D" w:rsidRPr="00E97DFC">
              <w:rPr>
                <w:bCs/>
                <w:lang w:val="en-GB"/>
              </w:rPr>
              <w:t xml:space="preserve"> </w:t>
            </w:r>
            <w:r w:rsidRPr="00E97DFC">
              <w:rPr>
                <w:bCs/>
                <w:lang w:val="en-GB"/>
              </w:rPr>
              <w:t xml:space="preserve">recommendations identified. Although a </w:t>
            </w:r>
            <w:r w:rsidR="00754113">
              <w:rPr>
                <w:bCs/>
                <w:lang w:val="en-GB"/>
              </w:rPr>
              <w:t xml:space="preserve">small number of </w:t>
            </w:r>
            <w:r w:rsidRPr="00E97DFC">
              <w:rPr>
                <w:bCs/>
                <w:lang w:val="en-GB"/>
              </w:rPr>
              <w:t xml:space="preserve">administrative-type errors were noted, no significant issues </w:t>
            </w:r>
            <w:r w:rsidR="00754113">
              <w:rPr>
                <w:bCs/>
                <w:lang w:val="en-GB"/>
              </w:rPr>
              <w:t>were identified</w:t>
            </w:r>
            <w:r w:rsidRPr="00E97DFC">
              <w:rPr>
                <w:bCs/>
                <w:lang w:val="en-GB"/>
              </w:rPr>
              <w:t>. The audit found that there was a strong segregation of duties, effective checking processes were in place, no errors were identified in deduction calculations, and salaries were aligned with contractual agreements.</w:t>
            </w:r>
          </w:p>
          <w:p w14:paraId="5ECAA485" w14:textId="77777777" w:rsidR="00044AE9" w:rsidRPr="00E97DFC" w:rsidRDefault="00044AE9" w:rsidP="0092277D">
            <w:pPr>
              <w:pStyle w:val="TableParagraph"/>
              <w:rPr>
                <w:bCs/>
                <w:lang w:val="en-GB"/>
              </w:rPr>
            </w:pPr>
          </w:p>
          <w:p w14:paraId="6B3C7FC3" w14:textId="6C79F1B0" w:rsidR="00044AE9" w:rsidRPr="00E97DFC" w:rsidRDefault="00044AE9" w:rsidP="0092277D">
            <w:pPr>
              <w:pStyle w:val="TableParagraph"/>
              <w:rPr>
                <w:bCs/>
                <w:lang w:val="en-GB"/>
              </w:rPr>
            </w:pPr>
            <w:r w:rsidRPr="00E97DFC">
              <w:rPr>
                <w:bCs/>
                <w:lang w:val="en-GB"/>
              </w:rPr>
              <w:t xml:space="preserve">S McNaught noted that while this was a strong result for the </w:t>
            </w:r>
            <w:r w:rsidR="00637382" w:rsidRPr="00E97DFC">
              <w:rPr>
                <w:bCs/>
                <w:lang w:val="en-GB"/>
              </w:rPr>
              <w:t>C</w:t>
            </w:r>
            <w:r w:rsidRPr="00E97DFC">
              <w:rPr>
                <w:bCs/>
                <w:lang w:val="en-GB"/>
              </w:rPr>
              <w:t>ollege, some other college clients had encountered difficulties with payroll, particularly in relation to academic staff. These situations can unravel quickly if not properly managed.</w:t>
            </w:r>
          </w:p>
          <w:p w14:paraId="3CD24C5B" w14:textId="77777777" w:rsidR="00044AE9" w:rsidRPr="00E97DFC" w:rsidRDefault="00044AE9" w:rsidP="0092277D">
            <w:pPr>
              <w:pStyle w:val="TableParagraph"/>
              <w:rPr>
                <w:bCs/>
                <w:lang w:val="en-GB"/>
              </w:rPr>
            </w:pPr>
          </w:p>
          <w:p w14:paraId="59211AB5" w14:textId="1D38369A" w:rsidR="00044AE9" w:rsidRPr="00E97DFC" w:rsidRDefault="00044AE9" w:rsidP="00306DB7">
            <w:pPr>
              <w:pStyle w:val="TableParagraph"/>
              <w:rPr>
                <w:bCs/>
                <w:lang w:val="en-GB"/>
              </w:rPr>
            </w:pPr>
            <w:r w:rsidRPr="00E97DFC">
              <w:rPr>
                <w:bCs/>
                <w:lang w:val="en-GB"/>
              </w:rPr>
              <w:t xml:space="preserve">H Honeyman welcomed the positive </w:t>
            </w:r>
            <w:r w:rsidR="00637382" w:rsidRPr="00E97DFC">
              <w:rPr>
                <w:bCs/>
                <w:lang w:val="en-GB"/>
              </w:rPr>
              <w:t>audit report</w:t>
            </w:r>
            <w:r w:rsidRPr="00E97DFC">
              <w:rPr>
                <w:bCs/>
                <w:lang w:val="en-GB"/>
              </w:rPr>
              <w:t xml:space="preserve"> and commended the Payroll and the People Team for their efforts, she asked about data security in relation to payroll. In response, S</w:t>
            </w:r>
            <w:r w:rsidR="006D138A" w:rsidRPr="00E97DFC">
              <w:rPr>
                <w:bCs/>
                <w:lang w:val="en-GB"/>
              </w:rPr>
              <w:t> </w:t>
            </w:r>
            <w:r w:rsidRPr="00E97DFC">
              <w:rPr>
                <w:bCs/>
                <w:lang w:val="en-GB"/>
              </w:rPr>
              <w:t xml:space="preserve">McNaught explained that the move to the iTrent system and the implementation of self-service functionality had improved data security significantly. As part of the transition, substantial data cleansing was undertaken, and data protection was a </w:t>
            </w:r>
            <w:r w:rsidR="006D138A" w:rsidRPr="00E97DFC">
              <w:rPr>
                <w:bCs/>
                <w:lang w:val="en-GB"/>
              </w:rPr>
              <w:t>f</w:t>
            </w:r>
            <w:r w:rsidRPr="00E97DFC">
              <w:rPr>
                <w:bCs/>
                <w:lang w:val="en-GB"/>
              </w:rPr>
              <w:t xml:space="preserve">ocus throughout. </w:t>
            </w:r>
          </w:p>
          <w:p w14:paraId="5DC81DB4" w14:textId="77777777" w:rsidR="00044AE9" w:rsidRPr="00E97DFC" w:rsidRDefault="00044AE9" w:rsidP="0092277D">
            <w:pPr>
              <w:pStyle w:val="TableParagraph"/>
              <w:rPr>
                <w:bCs/>
                <w:lang w:val="en-GB"/>
              </w:rPr>
            </w:pPr>
          </w:p>
          <w:p w14:paraId="660A799A" w14:textId="1BDD6730" w:rsidR="00044AE9" w:rsidRPr="00E97DFC" w:rsidRDefault="00044AE9" w:rsidP="0092277D">
            <w:pPr>
              <w:pStyle w:val="TableParagraph"/>
              <w:rPr>
                <w:bCs/>
                <w:lang w:val="en-GB"/>
              </w:rPr>
            </w:pPr>
            <w:r w:rsidRPr="00E97DFC">
              <w:rPr>
                <w:bCs/>
                <w:lang w:val="en-GB"/>
              </w:rPr>
              <w:t xml:space="preserve">S Taylor reported that the HR Committee had discussed the progress made through the Rapid </w:t>
            </w:r>
            <w:r w:rsidR="00306DB7" w:rsidRPr="00E97DFC">
              <w:rPr>
                <w:bCs/>
                <w:lang w:val="en-GB"/>
              </w:rPr>
              <w:t xml:space="preserve">Improvement </w:t>
            </w:r>
            <w:r w:rsidRPr="00E97DFC">
              <w:rPr>
                <w:bCs/>
                <w:lang w:val="en-GB"/>
              </w:rPr>
              <w:t xml:space="preserve">Event, which aimed to streamline staff contracts and positions. It was noted that staff could hold multiple positions, and the </w:t>
            </w:r>
            <w:r w:rsidR="00306DB7" w:rsidRPr="00E97DFC">
              <w:rPr>
                <w:bCs/>
                <w:lang w:val="en-GB"/>
              </w:rPr>
              <w:t>plans</w:t>
            </w:r>
            <w:r w:rsidRPr="00E97DFC">
              <w:rPr>
                <w:bCs/>
                <w:lang w:val="en-GB"/>
              </w:rPr>
              <w:t xml:space="preserve"> focused on how </w:t>
            </w:r>
            <w:r w:rsidR="00306DB7" w:rsidRPr="00E97DFC">
              <w:rPr>
                <w:bCs/>
                <w:lang w:val="en-GB"/>
              </w:rPr>
              <w:t xml:space="preserve">the administrative processes for this could be better </w:t>
            </w:r>
            <w:r w:rsidRPr="00E97DFC">
              <w:rPr>
                <w:bCs/>
                <w:lang w:val="en-GB"/>
              </w:rPr>
              <w:t>managed.</w:t>
            </w:r>
          </w:p>
          <w:p w14:paraId="09E5F300" w14:textId="77777777" w:rsidR="001F5F7E" w:rsidRPr="00E97DFC" w:rsidRDefault="001F5F7E" w:rsidP="0092277D">
            <w:pPr>
              <w:pStyle w:val="TableParagraph"/>
              <w:rPr>
                <w:bCs/>
                <w:lang w:val="en-GB"/>
              </w:rPr>
            </w:pPr>
          </w:p>
          <w:p w14:paraId="3AE7FFB5" w14:textId="29180D3F" w:rsidR="00044AE9" w:rsidRPr="00E97DFC" w:rsidRDefault="00044AE9" w:rsidP="0092277D">
            <w:pPr>
              <w:pStyle w:val="TableParagraph"/>
              <w:rPr>
                <w:bCs/>
                <w:lang w:val="en-GB"/>
              </w:rPr>
            </w:pPr>
            <w:r w:rsidRPr="00E97DFC">
              <w:rPr>
                <w:bCs/>
                <w:lang w:val="en-GB"/>
              </w:rPr>
              <w:t>G Bell congratulated the Payroll and People Team</w:t>
            </w:r>
            <w:r w:rsidR="005763C4">
              <w:rPr>
                <w:bCs/>
                <w:lang w:val="en-GB"/>
              </w:rPr>
              <w:t>s</w:t>
            </w:r>
            <w:r w:rsidRPr="00E97DFC">
              <w:rPr>
                <w:bCs/>
                <w:lang w:val="en-GB"/>
              </w:rPr>
              <w:t xml:space="preserve">, recognising the complexity of payroll within support services. He noted that simplifying payment structures </w:t>
            </w:r>
            <w:r w:rsidR="001F5F7E" w:rsidRPr="00E97DFC">
              <w:rPr>
                <w:bCs/>
                <w:lang w:val="en-GB"/>
              </w:rPr>
              <w:t xml:space="preserve">would </w:t>
            </w:r>
            <w:r w:rsidRPr="00E97DFC">
              <w:rPr>
                <w:bCs/>
                <w:lang w:val="en-GB"/>
              </w:rPr>
              <w:t>contribute to more accurate payroll outcomes.</w:t>
            </w:r>
          </w:p>
          <w:p w14:paraId="32BA0A6A" w14:textId="20DE39BA" w:rsidR="00044AE9" w:rsidRPr="00E97DFC" w:rsidRDefault="00044AE9" w:rsidP="0092277D">
            <w:pPr>
              <w:pStyle w:val="TableParagraph"/>
              <w:rPr>
                <w:bCs/>
                <w:lang w:val="en-GB"/>
              </w:rPr>
            </w:pPr>
            <w:r w:rsidRPr="00E97DFC">
              <w:rPr>
                <w:bCs/>
                <w:lang w:val="en-GB"/>
              </w:rPr>
              <w:lastRenderedPageBreak/>
              <w:t>H Honeyman asked whether evidence had been re</w:t>
            </w:r>
            <w:r w:rsidR="007D1E9E" w:rsidRPr="00E97DFC">
              <w:rPr>
                <w:bCs/>
                <w:lang w:val="en-GB"/>
              </w:rPr>
              <w:t>quested</w:t>
            </w:r>
            <w:r w:rsidRPr="00E97DFC">
              <w:rPr>
                <w:bCs/>
                <w:lang w:val="en-GB"/>
              </w:rPr>
              <w:t xml:space="preserve"> to support the A</w:t>
            </w:r>
            <w:r w:rsidR="007D1E9E" w:rsidRPr="00E97DFC">
              <w:rPr>
                <w:bCs/>
                <w:lang w:val="en-GB"/>
              </w:rPr>
              <w:t>V</w:t>
            </w:r>
            <w:r w:rsidRPr="00E97DFC">
              <w:rPr>
                <w:bCs/>
                <w:lang w:val="en-GB"/>
              </w:rPr>
              <w:t>C compliance. N</w:t>
            </w:r>
            <w:r w:rsidR="007D1E9E" w:rsidRPr="00E97DFC">
              <w:rPr>
                <w:bCs/>
                <w:lang w:val="en-GB"/>
              </w:rPr>
              <w:t> </w:t>
            </w:r>
            <w:r w:rsidRPr="00E97DFC">
              <w:rPr>
                <w:bCs/>
                <w:lang w:val="en-GB"/>
              </w:rPr>
              <w:t xml:space="preserve">Anderson </w:t>
            </w:r>
            <w:r w:rsidR="007D1E9E" w:rsidRPr="00E97DFC">
              <w:rPr>
                <w:bCs/>
                <w:lang w:val="en-GB"/>
              </w:rPr>
              <w:t xml:space="preserve">noted that this was not </w:t>
            </w:r>
            <w:r w:rsidR="00751229" w:rsidRPr="00E97DFC">
              <w:rPr>
                <w:bCs/>
                <w:lang w:val="en-GB"/>
              </w:rPr>
              <w:t>a priority as AVC information was held by the staff</w:t>
            </w:r>
            <w:r w:rsidRPr="00E97DFC">
              <w:rPr>
                <w:bCs/>
                <w:lang w:val="en-GB"/>
              </w:rPr>
              <w:t>, but going forward such records would be retained</w:t>
            </w:r>
            <w:r w:rsidR="00751229" w:rsidRPr="00E97DFC">
              <w:rPr>
                <w:bCs/>
                <w:lang w:val="en-GB"/>
              </w:rPr>
              <w:t>.</w:t>
            </w:r>
            <w:r w:rsidRPr="00E97DFC">
              <w:rPr>
                <w:bCs/>
                <w:lang w:val="en-GB"/>
              </w:rPr>
              <w:t xml:space="preserve"> </w:t>
            </w:r>
          </w:p>
          <w:p w14:paraId="5C67A82F" w14:textId="77777777" w:rsidR="00044AE9" w:rsidRPr="00E97DFC" w:rsidRDefault="00044AE9" w:rsidP="0092277D">
            <w:pPr>
              <w:pStyle w:val="TableParagraph"/>
              <w:rPr>
                <w:bCs/>
                <w:lang w:val="en-GB"/>
              </w:rPr>
            </w:pPr>
          </w:p>
          <w:p w14:paraId="2F76AB7D" w14:textId="7D9D4D40" w:rsidR="00044AE9" w:rsidRPr="00E97DFC" w:rsidRDefault="00751229" w:rsidP="0092277D">
            <w:pPr>
              <w:pStyle w:val="TableParagraph"/>
              <w:rPr>
                <w:bCs/>
                <w:lang w:val="en-GB"/>
              </w:rPr>
            </w:pPr>
            <w:r w:rsidRPr="00E97DFC">
              <w:rPr>
                <w:bCs/>
                <w:lang w:val="en-GB"/>
              </w:rPr>
              <w:t>H</w:t>
            </w:r>
            <w:r w:rsidR="00044AE9" w:rsidRPr="00E97DFC">
              <w:rPr>
                <w:bCs/>
                <w:lang w:val="en-GB"/>
              </w:rPr>
              <w:t xml:space="preserve"> Honeyman thanked S McNaught for the report.</w:t>
            </w:r>
          </w:p>
          <w:p w14:paraId="30C5C6E2" w14:textId="77777777" w:rsidR="00044AE9" w:rsidRPr="00E97DFC" w:rsidRDefault="00044AE9" w:rsidP="00C05914">
            <w:pPr>
              <w:pStyle w:val="TableParagraph"/>
              <w:rPr>
                <w:bCs/>
                <w:lang w:val="en-GB"/>
              </w:rPr>
            </w:pPr>
          </w:p>
          <w:p w14:paraId="475304E8" w14:textId="77777777" w:rsidR="00044AE9" w:rsidRPr="00E97DFC" w:rsidRDefault="00044AE9" w:rsidP="00C05914">
            <w:pPr>
              <w:pStyle w:val="TableParagraph"/>
              <w:rPr>
                <w:bCs/>
                <w:lang w:val="en-GB"/>
              </w:rPr>
            </w:pPr>
          </w:p>
          <w:p w14:paraId="232F71A2" w14:textId="77777777" w:rsidR="00044AE9" w:rsidRPr="00E97DFC" w:rsidRDefault="00044AE9" w:rsidP="00751229">
            <w:pPr>
              <w:pStyle w:val="TableParagraph"/>
              <w:numPr>
                <w:ilvl w:val="1"/>
                <w:numId w:val="2"/>
              </w:numPr>
              <w:ind w:left="431" w:hanging="431"/>
              <w:rPr>
                <w:bCs/>
                <w:lang w:val="en-GB"/>
              </w:rPr>
            </w:pPr>
            <w:r w:rsidRPr="00E97DFC">
              <w:rPr>
                <w:b/>
                <w:lang w:val="en-GB"/>
              </w:rPr>
              <w:t>Internal Audit Progress Report</w:t>
            </w:r>
          </w:p>
          <w:p w14:paraId="53167F61" w14:textId="77777777" w:rsidR="00044AE9" w:rsidRPr="00E97DFC" w:rsidRDefault="00044AE9" w:rsidP="00C05914">
            <w:pPr>
              <w:pStyle w:val="TableParagraph"/>
              <w:rPr>
                <w:bCs/>
                <w:lang w:val="en-GB"/>
              </w:rPr>
            </w:pPr>
          </w:p>
          <w:p w14:paraId="6FAD3BD7" w14:textId="157F5703" w:rsidR="00044AE9" w:rsidRDefault="00044AE9" w:rsidP="00065F9B">
            <w:pPr>
              <w:pStyle w:val="TableParagraph"/>
              <w:rPr>
                <w:bCs/>
                <w:lang w:val="en-GB"/>
              </w:rPr>
            </w:pPr>
            <w:r w:rsidRPr="00E97DFC">
              <w:rPr>
                <w:bCs/>
                <w:lang w:val="en-GB"/>
              </w:rPr>
              <w:t xml:space="preserve">S McNaught provided a summary of the current position within the annual audit plan. He stated </w:t>
            </w:r>
            <w:r w:rsidR="007C26D4">
              <w:rPr>
                <w:bCs/>
                <w:lang w:val="en-GB"/>
              </w:rPr>
              <w:t>two</w:t>
            </w:r>
            <w:r w:rsidRPr="00E97DFC">
              <w:rPr>
                <w:bCs/>
                <w:lang w:val="en-GB"/>
              </w:rPr>
              <w:t xml:space="preserve"> audits had been completed, with </w:t>
            </w:r>
            <w:r w:rsidR="007C26D4">
              <w:rPr>
                <w:bCs/>
                <w:lang w:val="en-GB"/>
              </w:rPr>
              <w:t>three</w:t>
            </w:r>
            <w:r w:rsidRPr="00E97DFC">
              <w:rPr>
                <w:bCs/>
                <w:lang w:val="en-GB"/>
              </w:rPr>
              <w:t xml:space="preserve"> still to be presented. Areas such as credits, bursaries, and the Education Maintenance Allowance (EMA) are scheduled to be reported later in September 2025.</w:t>
            </w:r>
          </w:p>
          <w:p w14:paraId="2B480BBA" w14:textId="77777777" w:rsidR="0043592B" w:rsidRDefault="0043592B" w:rsidP="00065F9B">
            <w:pPr>
              <w:pStyle w:val="TableParagraph"/>
              <w:rPr>
                <w:bCs/>
                <w:lang w:val="en-GB"/>
              </w:rPr>
            </w:pPr>
          </w:p>
          <w:p w14:paraId="6335FB06" w14:textId="54F4EF4A" w:rsidR="0043592B" w:rsidRPr="00E97DFC" w:rsidRDefault="0043592B" w:rsidP="00065F9B">
            <w:pPr>
              <w:pStyle w:val="TableParagraph"/>
              <w:rPr>
                <w:bCs/>
                <w:lang w:val="en-GB"/>
              </w:rPr>
            </w:pPr>
            <w:r>
              <w:rPr>
                <w:bCs/>
                <w:lang w:val="en-GB"/>
              </w:rPr>
              <w:t>The budget control audit had been delayed to 2025/26 to create space for the input on capital accounting.</w:t>
            </w:r>
          </w:p>
          <w:p w14:paraId="7CE3E8C7" w14:textId="77777777" w:rsidR="00751229" w:rsidRPr="00E97DFC" w:rsidRDefault="00751229" w:rsidP="00065F9B">
            <w:pPr>
              <w:pStyle w:val="TableParagraph"/>
              <w:rPr>
                <w:bCs/>
                <w:lang w:val="en-GB"/>
              </w:rPr>
            </w:pPr>
          </w:p>
          <w:p w14:paraId="63DD8F41" w14:textId="40C27965" w:rsidR="00044AE9" w:rsidRPr="00E97DFC" w:rsidRDefault="007C26D4" w:rsidP="00065F9B">
            <w:pPr>
              <w:pStyle w:val="TableParagraph"/>
              <w:rPr>
                <w:bCs/>
                <w:lang w:val="en-GB"/>
              </w:rPr>
            </w:pPr>
            <w:r>
              <w:rPr>
                <w:bCs/>
                <w:lang w:val="en-GB"/>
              </w:rPr>
              <w:t>T</w:t>
            </w:r>
            <w:r w:rsidR="00044AE9" w:rsidRPr="00E97DFC">
              <w:rPr>
                <w:bCs/>
                <w:lang w:val="en-GB"/>
              </w:rPr>
              <w:t xml:space="preserve">he digital strategy audit had been planned to commence around the current time; however, work is </w:t>
            </w:r>
            <w:r w:rsidR="00751229" w:rsidRPr="00E97DFC">
              <w:rPr>
                <w:bCs/>
                <w:lang w:val="en-GB"/>
              </w:rPr>
              <w:t>progressing to refresh</w:t>
            </w:r>
            <w:r w:rsidR="00044AE9" w:rsidRPr="00E97DFC">
              <w:rPr>
                <w:bCs/>
                <w:lang w:val="en-GB"/>
              </w:rPr>
              <w:t xml:space="preserve"> the digital strategy. As a result, the timing of the audit will be delayed to ensure there is a sufficiently developed strategy in place to review. </w:t>
            </w:r>
          </w:p>
          <w:p w14:paraId="4FACE59C" w14:textId="77777777" w:rsidR="00044AE9" w:rsidRPr="00E97DFC" w:rsidRDefault="00044AE9" w:rsidP="00065F9B">
            <w:pPr>
              <w:pStyle w:val="TableParagraph"/>
              <w:rPr>
                <w:bCs/>
                <w:lang w:val="en-GB"/>
              </w:rPr>
            </w:pPr>
          </w:p>
          <w:p w14:paraId="45CD9D09" w14:textId="0FBEC764" w:rsidR="00044AE9" w:rsidRPr="00E97DFC" w:rsidRDefault="00044AE9" w:rsidP="00065F9B">
            <w:pPr>
              <w:pStyle w:val="TableParagraph"/>
              <w:rPr>
                <w:bCs/>
                <w:lang w:val="en-GB"/>
              </w:rPr>
            </w:pPr>
            <w:r w:rsidRPr="00E97DFC">
              <w:rPr>
                <w:bCs/>
                <w:lang w:val="en-GB"/>
              </w:rPr>
              <w:t xml:space="preserve">H Honeyman asked whether this audit could be expected at the </w:t>
            </w:r>
            <w:r w:rsidR="00095CF9" w:rsidRPr="00E97DFC">
              <w:rPr>
                <w:bCs/>
                <w:lang w:val="en-GB"/>
              </w:rPr>
              <w:t>September</w:t>
            </w:r>
            <w:r w:rsidRPr="00E97DFC">
              <w:rPr>
                <w:bCs/>
                <w:lang w:val="en-GB"/>
              </w:rPr>
              <w:t xml:space="preserve"> 2025 meeting. S</w:t>
            </w:r>
            <w:r w:rsidR="00095CF9" w:rsidRPr="00E97DFC">
              <w:rPr>
                <w:bCs/>
                <w:lang w:val="en-GB"/>
              </w:rPr>
              <w:t> </w:t>
            </w:r>
            <w:r w:rsidRPr="00E97DFC">
              <w:rPr>
                <w:bCs/>
                <w:lang w:val="en-GB"/>
              </w:rPr>
              <w:t>McNaught confirmed this was the revised expectation.</w:t>
            </w:r>
          </w:p>
          <w:p w14:paraId="332D8B48" w14:textId="77777777" w:rsidR="00044AE9" w:rsidRPr="00E97DFC" w:rsidRDefault="00044AE9" w:rsidP="00065F9B">
            <w:pPr>
              <w:pStyle w:val="TableParagraph"/>
              <w:rPr>
                <w:bCs/>
                <w:lang w:val="en-GB"/>
              </w:rPr>
            </w:pPr>
          </w:p>
          <w:p w14:paraId="7C0E35BC" w14:textId="75451402" w:rsidR="00044AE9" w:rsidRPr="00E97DFC" w:rsidRDefault="00044AE9" w:rsidP="00065F9B">
            <w:pPr>
              <w:pStyle w:val="TableParagraph"/>
              <w:rPr>
                <w:bCs/>
                <w:lang w:val="en-GB"/>
              </w:rPr>
            </w:pPr>
            <w:r w:rsidRPr="00E97DFC">
              <w:rPr>
                <w:bCs/>
                <w:lang w:val="en-GB"/>
              </w:rPr>
              <w:t>G Bell noted that the implementation of the digital strategy must provide measurable elements to enable a meaningful audit.</w:t>
            </w:r>
          </w:p>
          <w:p w14:paraId="688DBD0D" w14:textId="77777777" w:rsidR="00044AE9" w:rsidRPr="00E97DFC" w:rsidRDefault="00044AE9" w:rsidP="00065F9B">
            <w:pPr>
              <w:pStyle w:val="TableParagraph"/>
              <w:rPr>
                <w:bCs/>
                <w:lang w:val="en-GB"/>
              </w:rPr>
            </w:pPr>
          </w:p>
          <w:p w14:paraId="48307AD6" w14:textId="4F4B7219" w:rsidR="00044AE9" w:rsidRPr="00E97DFC" w:rsidRDefault="00044AE9" w:rsidP="00065F9B">
            <w:pPr>
              <w:pStyle w:val="TableParagraph"/>
              <w:rPr>
                <w:bCs/>
                <w:lang w:val="en-GB"/>
              </w:rPr>
            </w:pPr>
            <w:r w:rsidRPr="00E97DFC">
              <w:rPr>
                <w:bCs/>
                <w:lang w:val="en-GB"/>
              </w:rPr>
              <w:t xml:space="preserve">S McNaught responded that, across the sector, there have been changes in guidance, and the </w:t>
            </w:r>
            <w:r w:rsidR="00AA0413">
              <w:rPr>
                <w:bCs/>
                <w:lang w:val="en-GB"/>
              </w:rPr>
              <w:t>C</w:t>
            </w:r>
            <w:r w:rsidRPr="00E97DFC">
              <w:rPr>
                <w:bCs/>
                <w:lang w:val="en-GB"/>
              </w:rPr>
              <w:t xml:space="preserve">ollege is currently updating its framework to support the implementation of its digital strategy. He advised that it is appropriate to wait until the </w:t>
            </w:r>
            <w:r w:rsidR="00095CF9" w:rsidRPr="00E97DFC">
              <w:rPr>
                <w:bCs/>
                <w:lang w:val="en-GB"/>
              </w:rPr>
              <w:t>C</w:t>
            </w:r>
            <w:r w:rsidRPr="00E97DFC">
              <w:rPr>
                <w:bCs/>
                <w:lang w:val="en-GB"/>
              </w:rPr>
              <w:t>ollege has finalised amendments to its own strategy before proceeding with the audit.</w:t>
            </w:r>
          </w:p>
          <w:p w14:paraId="5C7239D8" w14:textId="77777777" w:rsidR="00044AE9" w:rsidRPr="00E97DFC" w:rsidRDefault="00044AE9" w:rsidP="00065F9B">
            <w:pPr>
              <w:pStyle w:val="TableParagraph"/>
              <w:rPr>
                <w:bCs/>
                <w:lang w:val="en-GB"/>
              </w:rPr>
            </w:pPr>
          </w:p>
          <w:p w14:paraId="215D6417" w14:textId="36E8AB4E" w:rsidR="00044AE9" w:rsidRPr="00E97DFC" w:rsidRDefault="00044AE9" w:rsidP="00065F9B">
            <w:pPr>
              <w:pStyle w:val="TableParagraph"/>
              <w:rPr>
                <w:bCs/>
                <w:lang w:val="en-GB"/>
              </w:rPr>
            </w:pPr>
            <w:r w:rsidRPr="00E97DFC">
              <w:rPr>
                <w:bCs/>
                <w:lang w:val="en-GB"/>
              </w:rPr>
              <w:t xml:space="preserve">The </w:t>
            </w:r>
            <w:r w:rsidR="00095CF9" w:rsidRPr="00E97DFC">
              <w:rPr>
                <w:bCs/>
                <w:lang w:val="en-GB"/>
              </w:rPr>
              <w:t xml:space="preserve">progress was noted and the </w:t>
            </w:r>
            <w:r w:rsidRPr="00E97DFC">
              <w:rPr>
                <w:bCs/>
                <w:lang w:val="en-GB"/>
              </w:rPr>
              <w:t>report</w:t>
            </w:r>
            <w:r w:rsidR="00E97DFC" w:rsidRPr="00E97DFC">
              <w:rPr>
                <w:bCs/>
                <w:lang w:val="en-GB"/>
              </w:rPr>
              <w:t xml:space="preserve"> </w:t>
            </w:r>
            <w:r w:rsidRPr="00E97DFC">
              <w:rPr>
                <w:bCs/>
                <w:lang w:val="en-GB"/>
              </w:rPr>
              <w:t xml:space="preserve">welcomed. </w:t>
            </w:r>
          </w:p>
          <w:p w14:paraId="3DA6A7D3" w14:textId="77777777" w:rsidR="00044AE9" w:rsidRPr="00E97DFC" w:rsidRDefault="00044AE9" w:rsidP="00C05914">
            <w:pPr>
              <w:pStyle w:val="TableParagraph"/>
              <w:rPr>
                <w:bCs/>
                <w:lang w:val="en-GB"/>
              </w:rPr>
            </w:pPr>
          </w:p>
          <w:p w14:paraId="1D04F86A" w14:textId="77777777" w:rsidR="00044AE9" w:rsidRPr="00E97DFC" w:rsidRDefault="00044AE9" w:rsidP="00C05914">
            <w:pPr>
              <w:pStyle w:val="TableParagraph"/>
              <w:rPr>
                <w:bCs/>
                <w:lang w:val="en-GB"/>
              </w:rPr>
            </w:pPr>
          </w:p>
          <w:p w14:paraId="6E2714E3" w14:textId="77777777" w:rsidR="00044AE9" w:rsidRPr="00E97DFC" w:rsidRDefault="00044AE9" w:rsidP="00E97DFC">
            <w:pPr>
              <w:pStyle w:val="TableParagraph"/>
              <w:numPr>
                <w:ilvl w:val="1"/>
                <w:numId w:val="2"/>
              </w:numPr>
              <w:ind w:left="431" w:hanging="431"/>
              <w:rPr>
                <w:b/>
                <w:lang w:val="en-GB"/>
              </w:rPr>
            </w:pPr>
            <w:r w:rsidRPr="00E97DFC">
              <w:rPr>
                <w:b/>
                <w:lang w:val="en-GB"/>
              </w:rPr>
              <w:t>Procurement &amp; Creditors Audit Progress</w:t>
            </w:r>
          </w:p>
          <w:p w14:paraId="3215872A" w14:textId="77777777" w:rsidR="00044AE9" w:rsidRPr="00E97DFC" w:rsidRDefault="00044AE9" w:rsidP="00C05914">
            <w:pPr>
              <w:pStyle w:val="TableParagraph"/>
              <w:rPr>
                <w:bCs/>
                <w:lang w:val="en-GB"/>
              </w:rPr>
            </w:pPr>
          </w:p>
          <w:p w14:paraId="7250BE64" w14:textId="77777777" w:rsidR="00044AE9" w:rsidRPr="00E97DFC" w:rsidRDefault="00044AE9" w:rsidP="00ED2DF3">
            <w:pPr>
              <w:pStyle w:val="TableParagraph"/>
              <w:rPr>
                <w:bCs/>
                <w:lang w:val="en-GB"/>
              </w:rPr>
            </w:pPr>
            <w:r w:rsidRPr="00E97DFC">
              <w:rPr>
                <w:bCs/>
                <w:lang w:val="en-GB"/>
              </w:rPr>
              <w:t>N Anderson provided an update on the Procurement and Creditors Audit undertaken in June 2024. The audit resulted in six recommendations, with progress regularly reported to both the Audit &amp; Risk Committee and the Finance &amp; Property Committee.</w:t>
            </w:r>
          </w:p>
          <w:p w14:paraId="1EA4FA71" w14:textId="77777777" w:rsidR="00044AE9" w:rsidRPr="00E97DFC" w:rsidRDefault="00044AE9" w:rsidP="00ED2DF3">
            <w:pPr>
              <w:pStyle w:val="TableParagraph"/>
              <w:rPr>
                <w:bCs/>
                <w:lang w:val="en-GB"/>
              </w:rPr>
            </w:pPr>
          </w:p>
          <w:p w14:paraId="3A287B1F" w14:textId="14B3C753" w:rsidR="00044AE9" w:rsidRPr="00E97DFC" w:rsidRDefault="00044AE9" w:rsidP="00ED2DF3">
            <w:pPr>
              <w:pStyle w:val="TableParagraph"/>
              <w:rPr>
                <w:bCs/>
                <w:lang w:val="en-GB"/>
              </w:rPr>
            </w:pPr>
            <w:r w:rsidRPr="00E97DFC">
              <w:rPr>
                <w:bCs/>
                <w:lang w:val="en-GB"/>
              </w:rPr>
              <w:t xml:space="preserve">Of the six recommendations, five have been fully implemented. The remaining recommendation </w:t>
            </w:r>
            <w:r w:rsidR="0011764F">
              <w:rPr>
                <w:bCs/>
                <w:lang w:val="en-GB"/>
              </w:rPr>
              <w:t xml:space="preserve">had a </w:t>
            </w:r>
            <w:r w:rsidRPr="00E97DFC">
              <w:rPr>
                <w:bCs/>
                <w:lang w:val="en-GB"/>
              </w:rPr>
              <w:t>completion deadline set for the end of August 2025.</w:t>
            </w:r>
          </w:p>
          <w:p w14:paraId="3E082556" w14:textId="77777777" w:rsidR="00044AE9" w:rsidRPr="00E97DFC" w:rsidRDefault="00044AE9" w:rsidP="00ED2DF3">
            <w:pPr>
              <w:pStyle w:val="TableParagraph"/>
              <w:rPr>
                <w:bCs/>
                <w:lang w:val="en-GB"/>
              </w:rPr>
            </w:pPr>
          </w:p>
          <w:p w14:paraId="598D1C3F" w14:textId="3F270688" w:rsidR="00044AE9" w:rsidRPr="00E97DFC" w:rsidRDefault="00044AE9" w:rsidP="00ED2DF3">
            <w:pPr>
              <w:pStyle w:val="TableParagraph"/>
              <w:rPr>
                <w:bCs/>
                <w:lang w:val="en-GB"/>
              </w:rPr>
            </w:pPr>
            <w:r w:rsidRPr="00E97DFC">
              <w:rPr>
                <w:bCs/>
                <w:lang w:val="en-GB"/>
              </w:rPr>
              <w:t>N Anderson also reported on the recommendation concerning compliance with the requirement to raise purchase orders. In the 2023/24 financial year, overall purchase order compliance stood at 23%. This figure has increased to 37% in the current year. While progress has been gradual, she emphasised that sustained focus and targeted efforts have led to significant improvement</w:t>
            </w:r>
            <w:r w:rsidR="00923C5A">
              <w:rPr>
                <w:bCs/>
                <w:lang w:val="en-GB"/>
              </w:rPr>
              <w:t xml:space="preserve"> and would continue</w:t>
            </w:r>
            <w:r w:rsidRPr="00E97DFC">
              <w:rPr>
                <w:bCs/>
                <w:lang w:val="en-GB"/>
              </w:rPr>
              <w:t>.</w:t>
            </w:r>
          </w:p>
          <w:p w14:paraId="2FA6D7A4" w14:textId="77777777" w:rsidR="00044AE9" w:rsidRPr="00E97DFC" w:rsidRDefault="00044AE9" w:rsidP="00C05914">
            <w:pPr>
              <w:pStyle w:val="TableParagraph"/>
              <w:rPr>
                <w:bCs/>
                <w:lang w:val="en-GB"/>
              </w:rPr>
            </w:pPr>
          </w:p>
          <w:p w14:paraId="5ACA8F36" w14:textId="77777777" w:rsidR="00171928" w:rsidRDefault="00044AE9" w:rsidP="009604E2">
            <w:pPr>
              <w:pStyle w:val="TableParagraph"/>
              <w:rPr>
                <w:bCs/>
                <w:lang w:val="en-GB"/>
              </w:rPr>
            </w:pPr>
            <w:r w:rsidRPr="00E97DFC">
              <w:rPr>
                <w:bCs/>
                <w:lang w:val="en-GB"/>
              </w:rPr>
              <w:t>H Honeyman asked whether Purchase Order (PO) compliance levels were expected to increase</w:t>
            </w:r>
            <w:r w:rsidR="004E6DB8">
              <w:rPr>
                <w:bCs/>
                <w:lang w:val="en-GB"/>
              </w:rPr>
              <w:t xml:space="preserve"> further</w:t>
            </w:r>
            <w:r w:rsidRPr="00E97DFC">
              <w:rPr>
                <w:bCs/>
                <w:lang w:val="en-GB"/>
              </w:rPr>
              <w:t xml:space="preserve">. </w:t>
            </w:r>
          </w:p>
          <w:p w14:paraId="17D757BB" w14:textId="77777777" w:rsidR="00171928" w:rsidRDefault="00171928" w:rsidP="009604E2">
            <w:pPr>
              <w:pStyle w:val="TableParagraph"/>
              <w:rPr>
                <w:bCs/>
                <w:lang w:val="en-GB"/>
              </w:rPr>
            </w:pPr>
          </w:p>
          <w:p w14:paraId="3B01D0F1" w14:textId="361978BA" w:rsidR="00044AE9" w:rsidRPr="00E97DFC" w:rsidRDefault="00044AE9" w:rsidP="002851CE">
            <w:pPr>
              <w:pStyle w:val="TableParagraph"/>
              <w:rPr>
                <w:bCs/>
                <w:lang w:val="en-GB"/>
              </w:rPr>
            </w:pPr>
            <w:r w:rsidRPr="00E97DFC">
              <w:rPr>
                <w:bCs/>
                <w:lang w:val="en-GB"/>
              </w:rPr>
              <w:t>N Anderson responded that PO compliance should reach the high 90s in percentage terms. Significant efforts are underway, particularly with the Estates team, which is the largest area of spend. Transaction teams have been meeting with team managers to review</w:t>
            </w:r>
            <w:r w:rsidR="00AA0413">
              <w:rPr>
                <w:bCs/>
                <w:lang w:val="en-GB"/>
              </w:rPr>
              <w:t xml:space="preserve"> and reinforce </w:t>
            </w:r>
            <w:r w:rsidRPr="00E97DFC">
              <w:rPr>
                <w:bCs/>
                <w:lang w:val="en-GB"/>
              </w:rPr>
              <w:t xml:space="preserve">PO compliance in detail. </w:t>
            </w:r>
          </w:p>
          <w:p w14:paraId="4FB98272" w14:textId="301787A4" w:rsidR="00044AE9" w:rsidRPr="00E97DFC" w:rsidRDefault="00044AE9" w:rsidP="009604E2">
            <w:pPr>
              <w:pStyle w:val="TableParagraph"/>
              <w:rPr>
                <w:bCs/>
                <w:lang w:val="en-GB"/>
              </w:rPr>
            </w:pPr>
            <w:r w:rsidRPr="00E97DFC">
              <w:rPr>
                <w:bCs/>
                <w:lang w:val="en-GB"/>
              </w:rPr>
              <w:lastRenderedPageBreak/>
              <w:t>R Gordon commented that this change is being felt throughout the organisation and acknowledged that the implementation involves more than just financial control</w:t>
            </w:r>
            <w:r w:rsidR="00AA0413">
              <w:rPr>
                <w:bCs/>
                <w:lang w:val="en-GB"/>
              </w:rPr>
              <w:t xml:space="preserve"> as </w:t>
            </w:r>
            <w:r w:rsidRPr="00E97DFC">
              <w:rPr>
                <w:bCs/>
                <w:lang w:val="en-GB"/>
              </w:rPr>
              <w:t>it also touches on broader software and service-related issues.</w:t>
            </w:r>
          </w:p>
          <w:p w14:paraId="798B2285" w14:textId="77777777" w:rsidR="00044AE9" w:rsidRPr="00E97DFC" w:rsidRDefault="00044AE9" w:rsidP="009604E2">
            <w:pPr>
              <w:pStyle w:val="TableParagraph"/>
              <w:rPr>
                <w:bCs/>
                <w:lang w:val="en-GB"/>
              </w:rPr>
            </w:pPr>
          </w:p>
          <w:p w14:paraId="70E9619A" w14:textId="1ECCBB80" w:rsidR="00044AE9" w:rsidRPr="00E97DFC" w:rsidRDefault="00044AE9" w:rsidP="009604E2">
            <w:pPr>
              <w:pStyle w:val="TableParagraph"/>
              <w:rPr>
                <w:bCs/>
                <w:lang w:val="en-GB"/>
              </w:rPr>
            </w:pPr>
            <w:r w:rsidRPr="00E97DFC">
              <w:rPr>
                <w:bCs/>
                <w:lang w:val="en-GB"/>
              </w:rPr>
              <w:t>H Honeyman asked how long the organisation is giving itself to progress on this journey. N</w:t>
            </w:r>
            <w:r w:rsidR="002851CE">
              <w:rPr>
                <w:bCs/>
                <w:lang w:val="en-GB"/>
              </w:rPr>
              <w:t> </w:t>
            </w:r>
            <w:r w:rsidRPr="00E97DFC">
              <w:rPr>
                <w:bCs/>
                <w:lang w:val="en-GB"/>
              </w:rPr>
              <w:t>Anderson explained that initial meetings with budget holders have already taken place and will be followed by a series of meetings focusing specifically on Purchase Orders. Compliance will also be monitored during the monthly budget review meetings, offering multiple touchpoints to reinforce expectations and processes.</w:t>
            </w:r>
          </w:p>
          <w:p w14:paraId="56923602" w14:textId="77777777" w:rsidR="00044AE9" w:rsidRPr="00E97DFC" w:rsidRDefault="00044AE9" w:rsidP="009604E2">
            <w:pPr>
              <w:pStyle w:val="TableParagraph"/>
              <w:rPr>
                <w:bCs/>
                <w:lang w:val="en-GB"/>
              </w:rPr>
            </w:pPr>
          </w:p>
          <w:p w14:paraId="2B2C3C80" w14:textId="0BD6D865" w:rsidR="00044AE9" w:rsidRPr="00E97DFC" w:rsidRDefault="00044AE9" w:rsidP="00C70C19">
            <w:pPr>
              <w:pStyle w:val="TableParagraph"/>
              <w:rPr>
                <w:bCs/>
                <w:lang w:val="en-GB"/>
              </w:rPr>
            </w:pPr>
            <w:r w:rsidRPr="00E97DFC">
              <w:rPr>
                <w:bCs/>
                <w:lang w:val="en-GB"/>
              </w:rPr>
              <w:t xml:space="preserve">S McNaught </w:t>
            </w:r>
            <w:r w:rsidR="008D04EE">
              <w:rPr>
                <w:bCs/>
                <w:lang w:val="en-GB"/>
              </w:rPr>
              <w:t>noted the increased risk of fraud where P</w:t>
            </w:r>
            <w:r w:rsidR="00D011A7">
              <w:rPr>
                <w:bCs/>
                <w:lang w:val="en-GB"/>
              </w:rPr>
              <w:t>O</w:t>
            </w:r>
            <w:r w:rsidR="008D04EE">
              <w:rPr>
                <w:bCs/>
                <w:lang w:val="en-GB"/>
              </w:rPr>
              <w:t>s were not standard</w:t>
            </w:r>
            <w:r w:rsidR="00D011A7">
              <w:rPr>
                <w:bCs/>
                <w:lang w:val="en-GB"/>
              </w:rPr>
              <w:t xml:space="preserve">. N Anderson noted that this had been considered in the audit and that further work was </w:t>
            </w:r>
            <w:r w:rsidR="00C70C19">
              <w:rPr>
                <w:bCs/>
                <w:lang w:val="en-GB"/>
              </w:rPr>
              <w:t xml:space="preserve">being progressed by the new Procurement Manager. </w:t>
            </w:r>
            <w:r w:rsidR="008D04EE">
              <w:rPr>
                <w:bCs/>
                <w:lang w:val="en-GB"/>
              </w:rPr>
              <w:t xml:space="preserve"> </w:t>
            </w:r>
          </w:p>
          <w:p w14:paraId="56B16200" w14:textId="77777777" w:rsidR="00044AE9" w:rsidRPr="00E97DFC" w:rsidRDefault="00044AE9" w:rsidP="00C05914">
            <w:pPr>
              <w:pStyle w:val="TableParagraph"/>
              <w:rPr>
                <w:bCs/>
                <w:lang w:val="en-GB"/>
              </w:rPr>
            </w:pPr>
          </w:p>
          <w:p w14:paraId="744755B1" w14:textId="4B2A0A04" w:rsidR="00044AE9" w:rsidRPr="00E97DFC" w:rsidRDefault="00044AE9" w:rsidP="00C05914">
            <w:pPr>
              <w:pStyle w:val="TableParagraph"/>
              <w:rPr>
                <w:bCs/>
                <w:lang w:val="en-GB"/>
              </w:rPr>
            </w:pPr>
            <w:r w:rsidRPr="00E97DFC">
              <w:rPr>
                <w:bCs/>
                <w:lang w:val="en-GB"/>
              </w:rPr>
              <w:t>The Committee welcomed the update and acknowledged the positive direction of travel.</w:t>
            </w:r>
          </w:p>
          <w:p w14:paraId="7F11E9B8" w14:textId="77777777" w:rsidR="00044AE9" w:rsidRPr="00E97DFC" w:rsidRDefault="00044AE9" w:rsidP="00C05914">
            <w:pPr>
              <w:pStyle w:val="TableParagraph"/>
              <w:rPr>
                <w:bCs/>
                <w:lang w:val="en-GB"/>
              </w:rPr>
            </w:pPr>
          </w:p>
          <w:p w14:paraId="5118141C" w14:textId="77777777" w:rsidR="00044AE9" w:rsidRPr="00E97DFC" w:rsidRDefault="00044AE9" w:rsidP="00C05914">
            <w:pPr>
              <w:pStyle w:val="TableParagraph"/>
              <w:rPr>
                <w:bCs/>
                <w:lang w:val="en-GB"/>
              </w:rPr>
            </w:pPr>
          </w:p>
          <w:p w14:paraId="573C4E8E" w14:textId="77777777" w:rsidR="00044AE9" w:rsidRPr="00E97DFC" w:rsidRDefault="00044AE9" w:rsidP="00C70C19">
            <w:pPr>
              <w:pStyle w:val="TableParagraph"/>
              <w:numPr>
                <w:ilvl w:val="1"/>
                <w:numId w:val="2"/>
              </w:numPr>
              <w:ind w:left="431" w:hanging="431"/>
              <w:rPr>
                <w:b/>
                <w:bCs/>
                <w:lang w:val="en-GB"/>
              </w:rPr>
            </w:pPr>
            <w:r w:rsidRPr="00E97DFC">
              <w:rPr>
                <w:b/>
                <w:bCs/>
                <w:lang w:val="en-GB"/>
              </w:rPr>
              <w:t>Follow Up Summary</w:t>
            </w:r>
          </w:p>
          <w:p w14:paraId="3C612D64" w14:textId="77777777" w:rsidR="00044AE9" w:rsidRPr="00E97DFC" w:rsidRDefault="00044AE9" w:rsidP="00C05914">
            <w:pPr>
              <w:pStyle w:val="TableParagraph"/>
              <w:rPr>
                <w:lang w:val="en-GB"/>
              </w:rPr>
            </w:pPr>
          </w:p>
          <w:p w14:paraId="4064C317" w14:textId="31DEF7B3" w:rsidR="00044AE9" w:rsidRDefault="00044AE9" w:rsidP="008136E8">
            <w:pPr>
              <w:pStyle w:val="TableParagraph"/>
              <w:rPr>
                <w:lang w:val="en-GB"/>
              </w:rPr>
            </w:pPr>
            <w:r w:rsidRPr="00E97DFC">
              <w:rPr>
                <w:lang w:val="en-GB"/>
              </w:rPr>
              <w:t xml:space="preserve">S Taylor provided an update on the progress of audit recommendations. It was noted that recommendations from the previous audit had been reviewed and that it was positive to see progress, with </w:t>
            </w:r>
            <w:r w:rsidR="00801122">
              <w:rPr>
                <w:lang w:val="en-GB"/>
              </w:rPr>
              <w:t xml:space="preserve">most </w:t>
            </w:r>
            <w:r w:rsidRPr="00E97DFC">
              <w:rPr>
                <w:lang w:val="en-GB"/>
              </w:rPr>
              <w:t xml:space="preserve">areas now marked as complete. </w:t>
            </w:r>
          </w:p>
          <w:p w14:paraId="44C7AD98" w14:textId="77777777" w:rsidR="00801122" w:rsidRPr="00E97DFC" w:rsidRDefault="00801122" w:rsidP="008136E8">
            <w:pPr>
              <w:pStyle w:val="TableParagraph"/>
              <w:rPr>
                <w:lang w:val="en-GB"/>
              </w:rPr>
            </w:pPr>
          </w:p>
          <w:p w14:paraId="16DD912C" w14:textId="77777777" w:rsidR="00610538" w:rsidRDefault="00044AE9" w:rsidP="008136E8">
            <w:pPr>
              <w:pStyle w:val="TableParagraph"/>
              <w:rPr>
                <w:lang w:val="en-GB"/>
              </w:rPr>
            </w:pPr>
            <w:r w:rsidRPr="00E97DFC">
              <w:rPr>
                <w:lang w:val="en-GB"/>
              </w:rPr>
              <w:t xml:space="preserve">S Taylor also referenced proposals relating to the commercial </w:t>
            </w:r>
            <w:r w:rsidR="00610538">
              <w:rPr>
                <w:lang w:val="en-GB"/>
              </w:rPr>
              <w:t>offer within</w:t>
            </w:r>
            <w:r w:rsidRPr="00E97DFC">
              <w:rPr>
                <w:lang w:val="en-GB"/>
              </w:rPr>
              <w:t xml:space="preserve"> the Sports Centre</w:t>
            </w:r>
            <w:r w:rsidR="00610538">
              <w:rPr>
                <w:lang w:val="en-GB"/>
              </w:rPr>
              <w:t xml:space="preserve"> and noted that it was proposed that these be deleted should the current proposals around the sports Centre operation be progressed.</w:t>
            </w:r>
          </w:p>
          <w:p w14:paraId="06A268E5" w14:textId="77777777" w:rsidR="00610538" w:rsidRDefault="00610538" w:rsidP="008136E8">
            <w:pPr>
              <w:pStyle w:val="TableParagraph"/>
              <w:rPr>
                <w:lang w:val="en-GB"/>
              </w:rPr>
            </w:pPr>
          </w:p>
          <w:p w14:paraId="51FFF352" w14:textId="5D99F799" w:rsidR="00044AE9" w:rsidRPr="00E97DFC" w:rsidRDefault="00044AE9" w:rsidP="00C05914">
            <w:pPr>
              <w:pStyle w:val="TableParagraph"/>
              <w:rPr>
                <w:lang w:val="en-GB"/>
              </w:rPr>
            </w:pPr>
            <w:r w:rsidRPr="00E97DFC">
              <w:rPr>
                <w:lang w:val="en-GB"/>
              </w:rPr>
              <w:t xml:space="preserve">G Bell asked </w:t>
            </w:r>
            <w:r w:rsidR="00B01DC3">
              <w:rPr>
                <w:lang w:val="en-GB"/>
              </w:rPr>
              <w:t>about the timing of this and steps should the commercial oper</w:t>
            </w:r>
            <w:r w:rsidR="00494940">
              <w:rPr>
                <w:lang w:val="en-GB"/>
              </w:rPr>
              <w:t>ation be continued and it was confirmed that in these circumstances the audit recommendations would con</w:t>
            </w:r>
            <w:r w:rsidR="00E67CE1">
              <w:rPr>
                <w:lang w:val="en-GB"/>
              </w:rPr>
              <w:t xml:space="preserve">tinue to be progressed. </w:t>
            </w:r>
            <w:r w:rsidRPr="00E97DFC">
              <w:rPr>
                <w:lang w:val="en-GB"/>
              </w:rPr>
              <w:t xml:space="preserve">The </w:t>
            </w:r>
            <w:r w:rsidR="00E67CE1">
              <w:rPr>
                <w:lang w:val="en-GB"/>
              </w:rPr>
              <w:t>C</w:t>
            </w:r>
            <w:r w:rsidRPr="00E97DFC">
              <w:rPr>
                <w:lang w:val="en-GB"/>
              </w:rPr>
              <w:t xml:space="preserve">ommittee agreed to approve the removal of audit recommendations associated with the Gardyne Sports Centre, </w:t>
            </w:r>
            <w:r w:rsidR="006921B0">
              <w:rPr>
                <w:lang w:val="en-GB"/>
              </w:rPr>
              <w:t>if and when</w:t>
            </w:r>
            <w:r w:rsidRPr="00E97DFC">
              <w:rPr>
                <w:lang w:val="en-GB"/>
              </w:rPr>
              <w:t xml:space="preserve"> the related commercial proposals are no longer being pursued.</w:t>
            </w:r>
          </w:p>
          <w:p w14:paraId="6C593BC7" w14:textId="77777777" w:rsidR="00044AE9" w:rsidRPr="00E97DFC" w:rsidRDefault="00044AE9" w:rsidP="00C05914">
            <w:pPr>
              <w:pStyle w:val="TableParagraph"/>
              <w:rPr>
                <w:b/>
                <w:lang w:val="en-GB"/>
              </w:rPr>
            </w:pPr>
          </w:p>
        </w:tc>
      </w:tr>
      <w:tr w:rsidR="00044AE9" w:rsidRPr="00E97DFC" w14:paraId="2AF02C9C" w14:textId="77777777" w:rsidTr="00044AE9">
        <w:trPr>
          <w:trHeight w:val="367"/>
        </w:trPr>
        <w:tc>
          <w:tcPr>
            <w:tcW w:w="426" w:type="dxa"/>
          </w:tcPr>
          <w:p w14:paraId="42855AFB"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5ECF03A3" w14:textId="77777777" w:rsidR="00044AE9" w:rsidRPr="00E97DFC" w:rsidRDefault="00044AE9" w:rsidP="001D07FA">
            <w:pPr>
              <w:pStyle w:val="TableParagraph"/>
              <w:rPr>
                <w:b/>
                <w:lang w:val="en-GB"/>
              </w:rPr>
            </w:pPr>
            <w:r w:rsidRPr="00E97DFC">
              <w:rPr>
                <w:b/>
                <w:lang w:val="en-GB"/>
              </w:rPr>
              <w:t>FINANCIAL GOVERNANCE REFLECTION/UPDATE</w:t>
            </w:r>
          </w:p>
          <w:p w14:paraId="0342EC7E" w14:textId="77777777" w:rsidR="00044AE9" w:rsidRPr="00E97DFC" w:rsidRDefault="00044AE9" w:rsidP="001D07FA">
            <w:pPr>
              <w:pStyle w:val="TableParagraph"/>
              <w:rPr>
                <w:b/>
                <w:lang w:val="en-GB"/>
              </w:rPr>
            </w:pPr>
          </w:p>
          <w:p w14:paraId="46BA0A80" w14:textId="77777777" w:rsidR="00044AE9" w:rsidRPr="00E97DFC" w:rsidRDefault="00044AE9" w:rsidP="00A821D9">
            <w:pPr>
              <w:pStyle w:val="TableParagraph"/>
              <w:rPr>
                <w:bCs/>
                <w:lang w:val="en-GB"/>
              </w:rPr>
            </w:pPr>
            <w:r w:rsidRPr="00E97DFC">
              <w:rPr>
                <w:bCs/>
                <w:lang w:val="en-GB"/>
              </w:rPr>
              <w:t>S Taylor presented the paper to the Committee.</w:t>
            </w:r>
          </w:p>
          <w:p w14:paraId="6A31BCFE" w14:textId="77777777" w:rsidR="00044AE9" w:rsidRPr="00E97DFC" w:rsidRDefault="00044AE9" w:rsidP="00A821D9">
            <w:pPr>
              <w:pStyle w:val="TableParagraph"/>
              <w:rPr>
                <w:bCs/>
                <w:lang w:val="en-GB"/>
              </w:rPr>
            </w:pPr>
          </w:p>
          <w:p w14:paraId="112C5D14" w14:textId="77777777" w:rsidR="00044AE9" w:rsidRPr="00E97DFC" w:rsidRDefault="00044AE9" w:rsidP="00A821D9">
            <w:pPr>
              <w:pStyle w:val="TableParagraph"/>
              <w:rPr>
                <w:bCs/>
                <w:lang w:val="en-GB"/>
              </w:rPr>
            </w:pPr>
            <w:r w:rsidRPr="00E97DFC">
              <w:rPr>
                <w:bCs/>
                <w:lang w:val="en-GB"/>
              </w:rPr>
              <w:t>He advised that, in light of the similarities in core business operations and funding models between Dundee &amp; Angus College and the University of Dundee, the College’s Senior Leadership Team had undertaken a reflective self-evaluation. This was intended to review internal practices and consider any relevant issues arising from the recent parliamentary scrutiny of the University of Dundee’s finances and governance arrangements from a D&amp;A perspective.</w:t>
            </w:r>
          </w:p>
          <w:p w14:paraId="6DFB84F4" w14:textId="77777777" w:rsidR="00044AE9" w:rsidRPr="00E97DFC" w:rsidRDefault="00044AE9" w:rsidP="00A821D9">
            <w:pPr>
              <w:pStyle w:val="TableParagraph"/>
              <w:rPr>
                <w:bCs/>
                <w:lang w:val="en-GB"/>
              </w:rPr>
            </w:pPr>
          </w:p>
          <w:p w14:paraId="652889C9" w14:textId="77777777" w:rsidR="00044AE9" w:rsidRPr="00E97DFC" w:rsidRDefault="00044AE9" w:rsidP="00A821D9">
            <w:pPr>
              <w:pStyle w:val="TableParagraph"/>
              <w:rPr>
                <w:bCs/>
                <w:lang w:val="en-GB"/>
              </w:rPr>
            </w:pPr>
            <w:r w:rsidRPr="00E97DFC">
              <w:rPr>
                <w:bCs/>
                <w:lang w:val="en-GB"/>
              </w:rPr>
              <w:t>S Taylor highlighted the importance of maintaining a proactive approach as these matters gain wider visibility and noted the possibility of a formal request or similar ask that all colleges and universities undertake a review relative to the outcome of the current inquiry into the Dundee University position.</w:t>
            </w:r>
          </w:p>
          <w:p w14:paraId="5F3ADBAE" w14:textId="77777777" w:rsidR="00044AE9" w:rsidRPr="00E97DFC" w:rsidRDefault="00044AE9" w:rsidP="00A821D9">
            <w:pPr>
              <w:pStyle w:val="TableParagraph"/>
              <w:rPr>
                <w:bCs/>
                <w:lang w:val="en-GB"/>
              </w:rPr>
            </w:pPr>
          </w:p>
          <w:p w14:paraId="700A7F1F" w14:textId="6FD6B26B" w:rsidR="00044AE9" w:rsidRPr="00E97DFC" w:rsidRDefault="00044AE9" w:rsidP="00A821D9">
            <w:pPr>
              <w:pStyle w:val="TableParagraph"/>
              <w:rPr>
                <w:b/>
                <w:lang w:val="en-GB"/>
              </w:rPr>
            </w:pPr>
            <w:r w:rsidRPr="00E97DFC">
              <w:rPr>
                <w:bCs/>
                <w:lang w:val="en-GB"/>
              </w:rPr>
              <w:t xml:space="preserve">He explained that the paper was informed by an initial parliamentary review and whilst acknowledging the financial challenges within the College, he reported that no significant gaps had been identified in Dundee &amp; Angus College’s current </w:t>
            </w:r>
            <w:r w:rsidR="00CB5E58">
              <w:rPr>
                <w:bCs/>
                <w:lang w:val="en-GB"/>
              </w:rPr>
              <w:t>approaches</w:t>
            </w:r>
            <w:r w:rsidRPr="00E97DFC">
              <w:rPr>
                <w:bCs/>
                <w:lang w:val="en-GB"/>
              </w:rPr>
              <w:t>. He confirmed that the paper would be further developed as additional information becomes available</w:t>
            </w:r>
            <w:r w:rsidRPr="00E97DFC">
              <w:rPr>
                <w:b/>
                <w:lang w:val="en-GB"/>
              </w:rPr>
              <w:t>.</w:t>
            </w:r>
          </w:p>
          <w:p w14:paraId="0B59DB0D" w14:textId="77777777" w:rsidR="00044AE9" w:rsidRPr="00E97DFC" w:rsidRDefault="00044AE9" w:rsidP="00A821D9">
            <w:pPr>
              <w:pStyle w:val="TableParagraph"/>
              <w:rPr>
                <w:b/>
                <w:lang w:val="en-GB"/>
              </w:rPr>
            </w:pPr>
          </w:p>
          <w:p w14:paraId="09E2DE23" w14:textId="77777777" w:rsidR="00044AE9" w:rsidRPr="00E97DFC" w:rsidRDefault="00044AE9" w:rsidP="0069083F">
            <w:pPr>
              <w:pStyle w:val="TableParagraph"/>
              <w:rPr>
                <w:bCs/>
                <w:lang w:val="en-GB"/>
              </w:rPr>
            </w:pPr>
            <w:r w:rsidRPr="00E97DFC">
              <w:rPr>
                <w:bCs/>
                <w:lang w:val="en-GB"/>
              </w:rPr>
              <w:t xml:space="preserve">H Honeyman praised the Senior Leadership Team (SLT) for their tight financial control and proactive approach, describing it as a positive development. </w:t>
            </w:r>
          </w:p>
          <w:p w14:paraId="7F574CC7" w14:textId="77777777" w:rsidR="00044AE9" w:rsidRDefault="00044AE9" w:rsidP="0069083F">
            <w:pPr>
              <w:pStyle w:val="TableParagraph"/>
              <w:rPr>
                <w:bCs/>
                <w:lang w:val="en-GB"/>
              </w:rPr>
            </w:pPr>
          </w:p>
          <w:p w14:paraId="35952447" w14:textId="77777777" w:rsidR="00502801" w:rsidRPr="00E97DFC" w:rsidRDefault="00502801" w:rsidP="0069083F">
            <w:pPr>
              <w:pStyle w:val="TableParagraph"/>
              <w:rPr>
                <w:bCs/>
                <w:lang w:val="en-GB"/>
              </w:rPr>
            </w:pPr>
          </w:p>
          <w:p w14:paraId="50EA5E42" w14:textId="20166B51" w:rsidR="00044AE9" w:rsidRPr="00E97DFC" w:rsidRDefault="00044AE9" w:rsidP="0069083F">
            <w:pPr>
              <w:pStyle w:val="TableParagraph"/>
              <w:rPr>
                <w:bCs/>
                <w:lang w:val="en-GB"/>
              </w:rPr>
            </w:pPr>
            <w:r w:rsidRPr="00E97DFC">
              <w:rPr>
                <w:bCs/>
                <w:lang w:val="en-GB"/>
              </w:rPr>
              <w:lastRenderedPageBreak/>
              <w:t>S Taylor described the situation as a work in progress and outlined the next steps, which include reporting back to the Finance and Property Committee (FPC) and the Audit &amp; Risk Committee (A&amp;R) on identified risk areas, progress made, and action plans.</w:t>
            </w:r>
            <w:r w:rsidR="00C93876">
              <w:rPr>
                <w:bCs/>
                <w:lang w:val="en-GB"/>
              </w:rPr>
              <w:t xml:space="preserve"> He noted that this would include both management and governance practices</w:t>
            </w:r>
            <w:r w:rsidR="0090034F">
              <w:rPr>
                <w:bCs/>
                <w:lang w:val="en-GB"/>
              </w:rPr>
              <w:t>.</w:t>
            </w:r>
          </w:p>
          <w:p w14:paraId="7063430B" w14:textId="77777777" w:rsidR="00044AE9" w:rsidRPr="00E97DFC" w:rsidRDefault="00044AE9" w:rsidP="0069083F">
            <w:pPr>
              <w:pStyle w:val="TableParagraph"/>
              <w:rPr>
                <w:bCs/>
                <w:lang w:val="en-GB"/>
              </w:rPr>
            </w:pPr>
          </w:p>
          <w:p w14:paraId="4A2EED55" w14:textId="70C0A448" w:rsidR="00044AE9" w:rsidRPr="00E97DFC" w:rsidRDefault="00044AE9" w:rsidP="0069083F">
            <w:pPr>
              <w:pStyle w:val="TableParagraph"/>
              <w:rPr>
                <w:bCs/>
                <w:lang w:val="en-GB"/>
              </w:rPr>
            </w:pPr>
            <w:r w:rsidRPr="00E97DFC">
              <w:rPr>
                <w:bCs/>
                <w:lang w:val="en-GB"/>
              </w:rPr>
              <w:t xml:space="preserve">N Anderson highlighted that the exercise provides a valuable opportunity for the SLT to discuss any concerns or issues openly. S Taylor added that through this process, it became evident that </w:t>
            </w:r>
            <w:r w:rsidR="00F55F72">
              <w:rPr>
                <w:bCs/>
                <w:lang w:val="en-GB"/>
              </w:rPr>
              <w:t xml:space="preserve">some members of </w:t>
            </w:r>
            <w:r w:rsidRPr="00E97DFC">
              <w:rPr>
                <w:bCs/>
                <w:lang w:val="en-GB"/>
              </w:rPr>
              <w:t>the SLT would benefit from</w:t>
            </w:r>
            <w:r w:rsidR="00F55F72">
              <w:rPr>
                <w:bCs/>
                <w:lang w:val="en-GB"/>
              </w:rPr>
              <w:t xml:space="preserve"> more specialised</w:t>
            </w:r>
            <w:r w:rsidRPr="00E97DFC">
              <w:rPr>
                <w:bCs/>
                <w:lang w:val="en-GB"/>
              </w:rPr>
              <w:t xml:space="preserve"> financial training. He also raised the importance of ensuring a clear understanding of how </w:t>
            </w:r>
            <w:r w:rsidR="00397A26">
              <w:rPr>
                <w:bCs/>
                <w:lang w:val="en-GB"/>
              </w:rPr>
              <w:t xml:space="preserve">the curriculum and </w:t>
            </w:r>
            <w:r w:rsidRPr="00E97DFC">
              <w:rPr>
                <w:bCs/>
                <w:lang w:val="en-GB"/>
              </w:rPr>
              <w:t xml:space="preserve">credits operate and how finances are derived from them, emphasising the need for comprehensive </w:t>
            </w:r>
            <w:r w:rsidR="00397A26">
              <w:rPr>
                <w:bCs/>
                <w:lang w:val="en-GB"/>
              </w:rPr>
              <w:t xml:space="preserve">organisational and </w:t>
            </w:r>
            <w:r w:rsidRPr="00E97DFC">
              <w:rPr>
                <w:bCs/>
                <w:lang w:val="en-GB"/>
              </w:rPr>
              <w:t>financial knowledge across the team.</w:t>
            </w:r>
          </w:p>
          <w:p w14:paraId="1CCAFDCC" w14:textId="77777777" w:rsidR="00044AE9" w:rsidRPr="00E97DFC" w:rsidRDefault="00044AE9" w:rsidP="0069083F">
            <w:pPr>
              <w:pStyle w:val="TableParagraph"/>
              <w:rPr>
                <w:b/>
                <w:lang w:val="en-GB"/>
              </w:rPr>
            </w:pPr>
          </w:p>
          <w:p w14:paraId="6C1D81A2" w14:textId="177420D9" w:rsidR="00044AE9" w:rsidRPr="00E97DFC" w:rsidRDefault="00044AE9" w:rsidP="0069083F">
            <w:pPr>
              <w:pStyle w:val="TableParagraph"/>
              <w:rPr>
                <w:bCs/>
                <w:lang w:val="en-GB"/>
              </w:rPr>
            </w:pPr>
            <w:r w:rsidRPr="00E97DFC">
              <w:rPr>
                <w:bCs/>
                <w:lang w:val="en-GB"/>
              </w:rPr>
              <w:t xml:space="preserve">H Honeyman </w:t>
            </w:r>
            <w:r w:rsidR="00397A26">
              <w:rPr>
                <w:bCs/>
                <w:lang w:val="en-GB"/>
              </w:rPr>
              <w:t xml:space="preserve">welcomed the comments regarding </w:t>
            </w:r>
            <w:r w:rsidR="00C3168C">
              <w:rPr>
                <w:bCs/>
                <w:lang w:val="en-GB"/>
              </w:rPr>
              <w:t xml:space="preserve">the review of </w:t>
            </w:r>
            <w:r w:rsidR="00397A26">
              <w:rPr>
                <w:bCs/>
                <w:lang w:val="en-GB"/>
              </w:rPr>
              <w:t>risk management</w:t>
            </w:r>
            <w:r w:rsidR="00C3168C">
              <w:rPr>
                <w:bCs/>
                <w:lang w:val="en-GB"/>
              </w:rPr>
              <w:t xml:space="preserve"> arrangements to ensure that interlinkages between areas of risk were clear and robust.</w:t>
            </w:r>
            <w:r w:rsidRPr="00E97DFC">
              <w:rPr>
                <w:bCs/>
                <w:lang w:val="en-GB"/>
              </w:rPr>
              <w:t xml:space="preserve"> </w:t>
            </w:r>
          </w:p>
          <w:p w14:paraId="6DFC22D5" w14:textId="77777777" w:rsidR="00044AE9" w:rsidRPr="00E97DFC" w:rsidRDefault="00044AE9" w:rsidP="0069083F">
            <w:pPr>
              <w:pStyle w:val="TableParagraph"/>
              <w:rPr>
                <w:bCs/>
                <w:lang w:val="en-GB"/>
              </w:rPr>
            </w:pPr>
          </w:p>
          <w:p w14:paraId="0553AA2D" w14:textId="5E8FB2A1" w:rsidR="00044AE9" w:rsidRPr="00E97DFC" w:rsidRDefault="00044AE9" w:rsidP="0069083F">
            <w:pPr>
              <w:pStyle w:val="TableParagraph"/>
              <w:rPr>
                <w:bCs/>
                <w:lang w:val="en-GB"/>
              </w:rPr>
            </w:pPr>
            <w:r w:rsidRPr="00E97DFC">
              <w:rPr>
                <w:bCs/>
                <w:lang w:val="en-GB"/>
              </w:rPr>
              <w:t xml:space="preserve">S McNaught noted that student enrolment figures, despite their critical importance, had not been previously classified as a high-priority risk at Dundee University. He referenced recent reviews of Dundee University’s situation to emphasise the necessity of closely monitoring </w:t>
            </w:r>
            <w:r w:rsidR="00C93876">
              <w:rPr>
                <w:bCs/>
                <w:lang w:val="en-GB"/>
              </w:rPr>
              <w:t xml:space="preserve">of </w:t>
            </w:r>
            <w:r w:rsidRPr="00E97DFC">
              <w:rPr>
                <w:bCs/>
                <w:lang w:val="en-GB"/>
              </w:rPr>
              <w:t>student numbers, given their substantial impact on institutional performance and planning.</w:t>
            </w:r>
          </w:p>
          <w:p w14:paraId="24427FA3" w14:textId="77777777" w:rsidR="00044AE9" w:rsidRPr="00E97DFC" w:rsidRDefault="00044AE9" w:rsidP="0069083F">
            <w:pPr>
              <w:pStyle w:val="TableParagraph"/>
              <w:rPr>
                <w:b/>
                <w:lang w:val="en-GB"/>
              </w:rPr>
            </w:pPr>
          </w:p>
          <w:p w14:paraId="75B44115" w14:textId="2899B415" w:rsidR="00044AE9" w:rsidRPr="00E97DFC" w:rsidRDefault="00044AE9" w:rsidP="0069083F">
            <w:pPr>
              <w:pStyle w:val="TableParagraph"/>
              <w:rPr>
                <w:bCs/>
                <w:lang w:val="en-GB"/>
              </w:rPr>
            </w:pPr>
            <w:r w:rsidRPr="00E97DFC">
              <w:rPr>
                <w:bCs/>
                <w:lang w:val="en-GB"/>
              </w:rPr>
              <w:t>G Bell noted that challenges faced by Dundee University further demonstrate</w:t>
            </w:r>
            <w:r w:rsidR="0090034F">
              <w:rPr>
                <w:bCs/>
                <w:lang w:val="en-GB"/>
              </w:rPr>
              <w:t>d</w:t>
            </w:r>
            <w:r w:rsidRPr="00E97DFC">
              <w:rPr>
                <w:bCs/>
                <w:lang w:val="en-GB"/>
              </w:rPr>
              <w:t xml:space="preserve"> the necessity of such oversight. He affirmed that the </w:t>
            </w:r>
            <w:r w:rsidR="0090034F">
              <w:rPr>
                <w:bCs/>
                <w:lang w:val="en-GB"/>
              </w:rPr>
              <w:t xml:space="preserve">College </w:t>
            </w:r>
            <w:r w:rsidRPr="00E97DFC">
              <w:rPr>
                <w:bCs/>
                <w:lang w:val="en-GB"/>
              </w:rPr>
              <w:t>horizon scanning practices have been effective in identifying emerging risks and commended the transparency of this approach, highlighting its value in adapting to external environmental factors.</w:t>
            </w:r>
          </w:p>
          <w:p w14:paraId="4D1FFAAB" w14:textId="77777777" w:rsidR="00044AE9" w:rsidRPr="00E97DFC" w:rsidRDefault="00044AE9" w:rsidP="0069083F">
            <w:pPr>
              <w:pStyle w:val="TableParagraph"/>
              <w:rPr>
                <w:b/>
                <w:lang w:val="en-GB"/>
              </w:rPr>
            </w:pPr>
          </w:p>
          <w:p w14:paraId="674AB76C" w14:textId="26B1439C" w:rsidR="00044AE9" w:rsidRPr="00E97DFC" w:rsidRDefault="00044AE9" w:rsidP="001D07FA">
            <w:pPr>
              <w:pStyle w:val="TableParagraph"/>
              <w:rPr>
                <w:b/>
                <w:lang w:val="en-GB"/>
              </w:rPr>
            </w:pPr>
            <w:r w:rsidRPr="00E97DFC">
              <w:rPr>
                <w:bCs/>
                <w:lang w:val="en-GB"/>
              </w:rPr>
              <w:t>H Honeyman concluded by commending the work as thorough and valuable.</w:t>
            </w:r>
          </w:p>
          <w:p w14:paraId="1100364A" w14:textId="77777777" w:rsidR="00044AE9" w:rsidRPr="00E97DFC" w:rsidRDefault="00044AE9" w:rsidP="001D07FA">
            <w:pPr>
              <w:pStyle w:val="TableParagraph"/>
              <w:rPr>
                <w:b/>
                <w:lang w:val="en-GB"/>
              </w:rPr>
            </w:pPr>
          </w:p>
        </w:tc>
      </w:tr>
      <w:tr w:rsidR="00044AE9" w:rsidRPr="00E97DFC" w14:paraId="3DB40979" w14:textId="77777777" w:rsidTr="004A6BF9">
        <w:trPr>
          <w:trHeight w:val="568"/>
        </w:trPr>
        <w:tc>
          <w:tcPr>
            <w:tcW w:w="426" w:type="dxa"/>
          </w:tcPr>
          <w:p w14:paraId="5AEC1EE8" w14:textId="77777777" w:rsidR="00044AE9" w:rsidRPr="00E97DFC" w:rsidRDefault="00044AE9" w:rsidP="00554B6B">
            <w:pPr>
              <w:pStyle w:val="TableParagraph"/>
              <w:numPr>
                <w:ilvl w:val="0"/>
                <w:numId w:val="1"/>
              </w:numPr>
              <w:ind w:left="0" w:firstLine="0"/>
              <w:jc w:val="center"/>
              <w:rPr>
                <w:b/>
                <w:lang w:val="en-GB"/>
              </w:rPr>
            </w:pPr>
          </w:p>
        </w:tc>
        <w:tc>
          <w:tcPr>
            <w:tcW w:w="9497" w:type="dxa"/>
          </w:tcPr>
          <w:p w14:paraId="2F6A9A00" w14:textId="77777777" w:rsidR="00044AE9" w:rsidRPr="00E97DFC" w:rsidRDefault="00044AE9" w:rsidP="001D07FA">
            <w:pPr>
              <w:pStyle w:val="TableParagraph"/>
              <w:rPr>
                <w:b/>
                <w:lang w:val="en-GB"/>
              </w:rPr>
            </w:pPr>
            <w:r w:rsidRPr="00E97DFC">
              <w:rPr>
                <w:b/>
                <w:lang w:val="en-GB"/>
              </w:rPr>
              <w:t>STRATEGIC RISK REGISTER</w:t>
            </w:r>
          </w:p>
          <w:p w14:paraId="2BF229FE" w14:textId="77777777" w:rsidR="00044AE9" w:rsidRPr="00E97DFC" w:rsidRDefault="00044AE9" w:rsidP="00B65C21">
            <w:pPr>
              <w:pStyle w:val="TableParagraph"/>
              <w:ind w:left="1080"/>
              <w:rPr>
                <w:bCs/>
                <w:lang w:val="en-GB"/>
              </w:rPr>
            </w:pPr>
          </w:p>
          <w:p w14:paraId="69AF80BD" w14:textId="505D5A41" w:rsidR="00044AE9" w:rsidRPr="00E97DFC" w:rsidRDefault="00044AE9" w:rsidP="009B2568">
            <w:pPr>
              <w:pStyle w:val="TableParagraph"/>
              <w:rPr>
                <w:bCs/>
                <w:lang w:val="en-GB"/>
              </w:rPr>
            </w:pPr>
            <w:r w:rsidRPr="00E97DFC">
              <w:rPr>
                <w:bCs/>
                <w:lang w:val="en-GB"/>
              </w:rPr>
              <w:t>S Taylor provided an update, noting the ongoing sector financial governance review previously discussed. The report identified</w:t>
            </w:r>
            <w:r w:rsidR="00AD3542">
              <w:rPr>
                <w:bCs/>
                <w:lang w:val="en-GB"/>
              </w:rPr>
              <w:t xml:space="preserve"> a proposed</w:t>
            </w:r>
            <w:r w:rsidRPr="00E97DFC">
              <w:rPr>
                <w:bCs/>
                <w:lang w:val="en-GB"/>
              </w:rPr>
              <w:t xml:space="preserve"> additional risk, which had also been considered by the Finance and Property Committee (FPC). The FPC was comfortable with broadening the review to encompass financial strategy, planning, and audit functions. The </w:t>
            </w:r>
            <w:r w:rsidR="00AD3542">
              <w:rPr>
                <w:bCs/>
                <w:lang w:val="en-GB"/>
              </w:rPr>
              <w:t>C</w:t>
            </w:r>
            <w:r w:rsidRPr="00E97DFC">
              <w:rPr>
                <w:bCs/>
                <w:lang w:val="en-GB"/>
              </w:rPr>
              <w:t xml:space="preserve">ommittee approved </w:t>
            </w:r>
            <w:r w:rsidR="00AD3542">
              <w:rPr>
                <w:bCs/>
                <w:lang w:val="en-GB"/>
              </w:rPr>
              <w:t>inclusion of this additional risk</w:t>
            </w:r>
            <w:r w:rsidRPr="00E97DFC">
              <w:rPr>
                <w:bCs/>
                <w:lang w:val="en-GB"/>
              </w:rPr>
              <w:t>.</w:t>
            </w:r>
            <w:r w:rsidR="00502801">
              <w:rPr>
                <w:bCs/>
                <w:lang w:val="en-GB"/>
              </w:rPr>
              <w:t xml:space="preserve"> </w:t>
            </w:r>
            <w:r w:rsidR="00502801" w:rsidRPr="00E97DFC">
              <w:rPr>
                <w:b/>
                <w:lang w:val="en-GB"/>
              </w:rPr>
              <w:t>S Taylor to progress.</w:t>
            </w:r>
          </w:p>
          <w:p w14:paraId="7E18D0F0" w14:textId="77777777" w:rsidR="00044AE9" w:rsidRPr="00E97DFC" w:rsidRDefault="00044AE9" w:rsidP="009B2568">
            <w:pPr>
              <w:pStyle w:val="TableParagraph"/>
              <w:rPr>
                <w:bCs/>
                <w:lang w:val="en-GB"/>
              </w:rPr>
            </w:pPr>
          </w:p>
          <w:p w14:paraId="0CEAB1D3" w14:textId="403B75C2" w:rsidR="00044AE9" w:rsidRPr="00E97DFC" w:rsidRDefault="00044AE9" w:rsidP="009B2568">
            <w:pPr>
              <w:pStyle w:val="TableParagraph"/>
              <w:rPr>
                <w:bCs/>
                <w:lang w:val="en-GB"/>
              </w:rPr>
            </w:pPr>
            <w:r w:rsidRPr="00E97DFC">
              <w:rPr>
                <w:bCs/>
                <w:lang w:val="en-GB"/>
              </w:rPr>
              <w:t xml:space="preserve">Financial sustainability was highlighted as a significant red risk. The </w:t>
            </w:r>
            <w:r w:rsidR="00F05E3B">
              <w:rPr>
                <w:bCs/>
                <w:lang w:val="en-GB"/>
              </w:rPr>
              <w:t xml:space="preserve">HR Committee and </w:t>
            </w:r>
            <w:r w:rsidR="002245AD">
              <w:rPr>
                <w:bCs/>
                <w:lang w:val="en-GB"/>
              </w:rPr>
              <w:t xml:space="preserve">Finance &amp; Property Committee </w:t>
            </w:r>
            <w:r w:rsidR="00F05E3B">
              <w:rPr>
                <w:bCs/>
                <w:lang w:val="en-GB"/>
              </w:rPr>
              <w:t>had</w:t>
            </w:r>
            <w:r w:rsidRPr="00E97DFC">
              <w:rPr>
                <w:bCs/>
                <w:lang w:val="en-GB"/>
              </w:rPr>
              <w:t xml:space="preserve"> been informed of planned savings and efficiency measures, with detailed discussions around staffing matters, including consultation with trade unions. A comprehensive update will be provided to the </w:t>
            </w:r>
            <w:r w:rsidR="00812EAB">
              <w:rPr>
                <w:bCs/>
                <w:lang w:val="en-GB"/>
              </w:rPr>
              <w:t xml:space="preserve">next </w:t>
            </w:r>
            <w:r w:rsidRPr="00E97DFC">
              <w:rPr>
                <w:bCs/>
                <w:lang w:val="en-GB"/>
              </w:rPr>
              <w:t xml:space="preserve">board </w:t>
            </w:r>
            <w:r w:rsidR="00812EAB">
              <w:rPr>
                <w:bCs/>
                <w:lang w:val="en-GB"/>
              </w:rPr>
              <w:t>meeting.</w:t>
            </w:r>
            <w:r w:rsidRPr="00E97DFC">
              <w:rPr>
                <w:bCs/>
                <w:lang w:val="en-GB"/>
              </w:rPr>
              <w:t xml:space="preserve"> </w:t>
            </w:r>
          </w:p>
          <w:p w14:paraId="40B81A63" w14:textId="77777777" w:rsidR="00044AE9" w:rsidRPr="00E97DFC" w:rsidRDefault="00044AE9" w:rsidP="009B2568">
            <w:pPr>
              <w:pStyle w:val="TableParagraph"/>
              <w:rPr>
                <w:bCs/>
                <w:lang w:val="en-GB"/>
              </w:rPr>
            </w:pPr>
          </w:p>
          <w:p w14:paraId="3037377A" w14:textId="77777777" w:rsidR="00E55847" w:rsidRDefault="005E2843" w:rsidP="009B2568">
            <w:pPr>
              <w:pStyle w:val="TableParagraph"/>
              <w:rPr>
                <w:bCs/>
                <w:lang w:val="en-GB"/>
              </w:rPr>
            </w:pPr>
            <w:r>
              <w:rPr>
                <w:bCs/>
                <w:lang w:val="en-GB"/>
              </w:rPr>
              <w:t>T</w:t>
            </w:r>
            <w:r w:rsidR="00044AE9" w:rsidRPr="00E97DFC">
              <w:rPr>
                <w:bCs/>
                <w:lang w:val="en-GB"/>
              </w:rPr>
              <w:t xml:space="preserve">here has been no material change in </w:t>
            </w:r>
            <w:r>
              <w:rPr>
                <w:bCs/>
                <w:lang w:val="en-GB"/>
              </w:rPr>
              <w:t xml:space="preserve">the risk around </w:t>
            </w:r>
            <w:r w:rsidRPr="00E97DFC">
              <w:rPr>
                <w:bCs/>
                <w:lang w:val="en-GB"/>
              </w:rPr>
              <w:t>Regarding Reinforced Autoclaved Aerated Concrete (RAAC)</w:t>
            </w:r>
            <w:r w:rsidR="00044AE9" w:rsidRPr="00E97DFC">
              <w:rPr>
                <w:bCs/>
                <w:lang w:val="en-GB"/>
              </w:rPr>
              <w:t xml:space="preserve">. A further structural engineering assessment is scheduled, with no expected significant change in condition. </w:t>
            </w:r>
          </w:p>
          <w:p w14:paraId="3BEDA4DF" w14:textId="77777777" w:rsidR="00E55847" w:rsidRDefault="00E55847" w:rsidP="009B2568">
            <w:pPr>
              <w:pStyle w:val="TableParagraph"/>
              <w:rPr>
                <w:bCs/>
                <w:lang w:val="en-GB"/>
              </w:rPr>
            </w:pPr>
          </w:p>
          <w:p w14:paraId="00A549BA" w14:textId="51581A16" w:rsidR="00044AE9" w:rsidRPr="00E97DFC" w:rsidRDefault="00044AE9" w:rsidP="009B2568">
            <w:pPr>
              <w:pStyle w:val="TableParagraph"/>
              <w:rPr>
                <w:bCs/>
                <w:lang w:val="en-GB"/>
              </w:rPr>
            </w:pPr>
            <w:r w:rsidRPr="00E97DFC">
              <w:rPr>
                <w:bCs/>
                <w:lang w:val="en-GB"/>
              </w:rPr>
              <w:t xml:space="preserve">H Honeyman </w:t>
            </w:r>
            <w:r w:rsidR="00FD3BE3">
              <w:rPr>
                <w:bCs/>
                <w:lang w:val="en-GB"/>
              </w:rPr>
              <w:t>asked about</w:t>
            </w:r>
            <w:r w:rsidRPr="00E97DFC">
              <w:rPr>
                <w:bCs/>
                <w:lang w:val="en-GB"/>
              </w:rPr>
              <w:t xml:space="preserve"> the potential financial risk posed by the RAAC remediation timeline of t</w:t>
            </w:r>
            <w:r w:rsidR="00FD3BE3">
              <w:rPr>
                <w:bCs/>
                <w:lang w:val="en-GB"/>
              </w:rPr>
              <w:t>hree to five years</w:t>
            </w:r>
            <w:r w:rsidRPr="00E97DFC">
              <w:rPr>
                <w:bCs/>
                <w:lang w:val="en-GB"/>
              </w:rPr>
              <w:t xml:space="preserve"> in contrast to the </w:t>
            </w:r>
            <w:r w:rsidR="00FD3BE3">
              <w:rPr>
                <w:bCs/>
                <w:lang w:val="en-GB"/>
              </w:rPr>
              <w:t xml:space="preserve">timeline for the </w:t>
            </w:r>
            <w:r w:rsidRPr="00E97DFC">
              <w:rPr>
                <w:bCs/>
                <w:lang w:val="en-GB"/>
              </w:rPr>
              <w:t>new campus development</w:t>
            </w:r>
            <w:r w:rsidR="00E73B35">
              <w:rPr>
                <w:bCs/>
                <w:lang w:val="en-GB"/>
              </w:rPr>
              <w:t xml:space="preserve">. </w:t>
            </w:r>
            <w:r w:rsidRPr="00E97DFC">
              <w:rPr>
                <w:bCs/>
                <w:lang w:val="en-GB"/>
              </w:rPr>
              <w:t xml:space="preserve"> S Taylor </w:t>
            </w:r>
            <w:r w:rsidR="00E73B35">
              <w:rPr>
                <w:bCs/>
                <w:lang w:val="en-GB"/>
              </w:rPr>
              <w:t xml:space="preserve">stated that this remained a concern but that it was hoped that </w:t>
            </w:r>
            <w:r w:rsidRPr="00E97DFC">
              <w:rPr>
                <w:bCs/>
                <w:lang w:val="en-GB"/>
              </w:rPr>
              <w:t>there has been no deterioration in RAAC condition</w:t>
            </w:r>
            <w:r w:rsidR="00E73B35">
              <w:rPr>
                <w:bCs/>
                <w:lang w:val="en-GB"/>
              </w:rPr>
              <w:t xml:space="preserve"> and if so that the</w:t>
            </w:r>
            <w:r w:rsidRPr="00E97DFC">
              <w:rPr>
                <w:bCs/>
                <w:lang w:val="en-GB"/>
              </w:rPr>
              <w:t xml:space="preserve"> three to five-year rolling review will continue. </w:t>
            </w:r>
          </w:p>
          <w:p w14:paraId="7E9CB247" w14:textId="77777777" w:rsidR="00044AE9" w:rsidRPr="00E97DFC" w:rsidRDefault="00044AE9" w:rsidP="009B2568">
            <w:pPr>
              <w:pStyle w:val="TableParagraph"/>
              <w:rPr>
                <w:bCs/>
                <w:lang w:val="en-GB"/>
              </w:rPr>
            </w:pPr>
          </w:p>
          <w:p w14:paraId="499AD3B1" w14:textId="77777777" w:rsidR="009C0361" w:rsidRDefault="00044AE9" w:rsidP="009B2568">
            <w:pPr>
              <w:pStyle w:val="TableParagraph"/>
              <w:rPr>
                <w:bCs/>
                <w:lang w:val="en-GB"/>
              </w:rPr>
            </w:pPr>
            <w:r w:rsidRPr="00E97DFC">
              <w:rPr>
                <w:bCs/>
                <w:lang w:val="en-GB"/>
              </w:rPr>
              <w:t xml:space="preserve">Should remediation be necessary, a provisional plan exists, including options such as renting alternative premises or </w:t>
            </w:r>
            <w:r w:rsidR="001C295A">
              <w:rPr>
                <w:bCs/>
                <w:lang w:val="en-GB"/>
              </w:rPr>
              <w:t>borrowing other public sector space.  This would, however, incur additional costs</w:t>
            </w:r>
            <w:r w:rsidR="009C0361">
              <w:rPr>
                <w:bCs/>
                <w:lang w:val="en-GB"/>
              </w:rPr>
              <w:t xml:space="preserve"> and financial support from the Funding Council would be sought.</w:t>
            </w:r>
          </w:p>
          <w:p w14:paraId="59215D47" w14:textId="77777777" w:rsidR="009C0361" w:rsidRDefault="009C0361" w:rsidP="009B2568">
            <w:pPr>
              <w:pStyle w:val="TableParagraph"/>
              <w:rPr>
                <w:bCs/>
                <w:lang w:val="en-GB"/>
              </w:rPr>
            </w:pPr>
          </w:p>
          <w:p w14:paraId="313FFD17" w14:textId="77777777" w:rsidR="00044AE9" w:rsidRDefault="00044AE9" w:rsidP="004A6BF9">
            <w:pPr>
              <w:pStyle w:val="TableParagraph"/>
              <w:rPr>
                <w:bCs/>
                <w:lang w:val="en-GB"/>
              </w:rPr>
            </w:pPr>
            <w:r w:rsidRPr="00E97DFC">
              <w:rPr>
                <w:bCs/>
                <w:lang w:val="en-GB"/>
              </w:rPr>
              <w:t xml:space="preserve">The </w:t>
            </w:r>
            <w:r w:rsidR="009C0361">
              <w:rPr>
                <w:bCs/>
                <w:lang w:val="en-GB"/>
              </w:rPr>
              <w:t>C</w:t>
            </w:r>
            <w:r w:rsidRPr="00E97DFC">
              <w:rPr>
                <w:bCs/>
                <w:lang w:val="en-GB"/>
              </w:rPr>
              <w:t>ommittee approved the strategic risk register.</w:t>
            </w:r>
          </w:p>
          <w:p w14:paraId="3C484CC1" w14:textId="0A066CA2" w:rsidR="00E55847" w:rsidRPr="00E97DFC" w:rsidRDefault="00E55847" w:rsidP="004A6BF9">
            <w:pPr>
              <w:pStyle w:val="TableParagraph"/>
              <w:rPr>
                <w:b/>
                <w:lang w:val="en-GB"/>
              </w:rPr>
            </w:pPr>
          </w:p>
        </w:tc>
      </w:tr>
      <w:tr w:rsidR="00044AE9" w:rsidRPr="00E97DFC" w14:paraId="62DC1987" w14:textId="77777777" w:rsidTr="00044AE9">
        <w:trPr>
          <w:trHeight w:val="748"/>
        </w:trPr>
        <w:tc>
          <w:tcPr>
            <w:tcW w:w="426" w:type="dxa"/>
          </w:tcPr>
          <w:p w14:paraId="3EDC4930" w14:textId="77777777" w:rsidR="00044AE9" w:rsidRPr="00E97DFC" w:rsidRDefault="00044AE9" w:rsidP="00554B6B">
            <w:pPr>
              <w:pStyle w:val="TableParagraph"/>
              <w:numPr>
                <w:ilvl w:val="0"/>
                <w:numId w:val="1"/>
              </w:numPr>
              <w:ind w:left="0" w:firstLine="0"/>
              <w:jc w:val="center"/>
              <w:rPr>
                <w:b/>
                <w:lang w:val="en-GB"/>
              </w:rPr>
            </w:pPr>
            <w:r w:rsidRPr="00E97DFC">
              <w:rPr>
                <w:b/>
                <w:lang w:val="en-GB"/>
              </w:rPr>
              <w:lastRenderedPageBreak/>
              <w:t>L</w:t>
            </w:r>
          </w:p>
          <w:p w14:paraId="23F0954C" w14:textId="77777777" w:rsidR="00044AE9" w:rsidRPr="00E97DFC" w:rsidRDefault="00044AE9" w:rsidP="001D07FA">
            <w:pPr>
              <w:pStyle w:val="TableParagraph"/>
              <w:rPr>
                <w:b/>
                <w:lang w:val="en-GB"/>
              </w:rPr>
            </w:pPr>
          </w:p>
        </w:tc>
        <w:tc>
          <w:tcPr>
            <w:tcW w:w="9497" w:type="dxa"/>
          </w:tcPr>
          <w:p w14:paraId="5F9C5CCC" w14:textId="0FD99FDA" w:rsidR="00044AE9" w:rsidRPr="00E97DFC" w:rsidRDefault="00044AE9" w:rsidP="001D07FA">
            <w:pPr>
              <w:pStyle w:val="TableParagraph"/>
              <w:rPr>
                <w:b/>
                <w:lang w:val="en-GB"/>
              </w:rPr>
            </w:pPr>
            <w:r w:rsidRPr="00E97DFC">
              <w:rPr>
                <w:b/>
                <w:lang w:val="en-GB"/>
              </w:rPr>
              <w:t xml:space="preserve"> INTERNAL AUDIT PROCUREMENT</w:t>
            </w:r>
          </w:p>
          <w:p w14:paraId="21DBF79A" w14:textId="77777777" w:rsidR="004A6BF9" w:rsidRDefault="004A6BF9" w:rsidP="001D07FA">
            <w:pPr>
              <w:pStyle w:val="TableParagraph"/>
              <w:rPr>
                <w:b/>
                <w:lang w:val="en-GB"/>
              </w:rPr>
            </w:pPr>
          </w:p>
          <w:p w14:paraId="6DFF2AC8" w14:textId="223187F4" w:rsidR="00044AE9" w:rsidRPr="00E97DFC" w:rsidRDefault="004A6BF9" w:rsidP="001D07FA">
            <w:pPr>
              <w:pStyle w:val="TableParagraph"/>
              <w:rPr>
                <w:b/>
                <w:lang w:val="en-GB"/>
              </w:rPr>
            </w:pPr>
            <w:r>
              <w:rPr>
                <w:b/>
                <w:lang w:val="en-GB"/>
              </w:rPr>
              <w:t>I</w:t>
            </w:r>
            <w:r w:rsidR="00044AE9" w:rsidRPr="00E97DFC">
              <w:rPr>
                <w:b/>
                <w:lang w:val="en-GB"/>
              </w:rPr>
              <w:t xml:space="preserve">tem </w:t>
            </w:r>
            <w:r>
              <w:rPr>
                <w:b/>
                <w:lang w:val="en-GB"/>
              </w:rPr>
              <w:t>was</w:t>
            </w:r>
            <w:r w:rsidR="00044AE9" w:rsidRPr="00E97DFC">
              <w:rPr>
                <w:b/>
                <w:lang w:val="en-GB"/>
              </w:rPr>
              <w:t xml:space="preserve"> taken without auditors present</w:t>
            </w:r>
          </w:p>
          <w:p w14:paraId="7F1A9CD8" w14:textId="77777777" w:rsidR="00044AE9" w:rsidRPr="00E97DFC" w:rsidRDefault="00044AE9" w:rsidP="001D07FA">
            <w:pPr>
              <w:pStyle w:val="TableParagraph"/>
              <w:rPr>
                <w:b/>
                <w:lang w:val="en-GB"/>
              </w:rPr>
            </w:pPr>
          </w:p>
          <w:p w14:paraId="59361DAB" w14:textId="7666D5C0" w:rsidR="00044AE9" w:rsidRPr="00E97DFC" w:rsidRDefault="00044AE9" w:rsidP="00DF6CF7">
            <w:pPr>
              <w:pStyle w:val="TableParagraph"/>
              <w:rPr>
                <w:bCs/>
                <w:lang w:val="en-GB"/>
              </w:rPr>
            </w:pPr>
            <w:r w:rsidRPr="00E97DFC">
              <w:rPr>
                <w:bCs/>
                <w:lang w:val="en-GB"/>
              </w:rPr>
              <w:t xml:space="preserve">N Anderson reported that at the September committee meeting, the responsibility for selecting the internal audit provider was delegated to H Honeyman and N Anderson. This process has now been completed, with two supplier bids received and assessed. Following evaluation, it </w:t>
            </w:r>
            <w:r w:rsidR="00AD07F0">
              <w:rPr>
                <w:bCs/>
                <w:lang w:val="en-GB"/>
              </w:rPr>
              <w:t>was</w:t>
            </w:r>
            <w:r w:rsidRPr="00E97DFC">
              <w:rPr>
                <w:bCs/>
                <w:lang w:val="en-GB"/>
              </w:rPr>
              <w:t xml:space="preserve"> recommended that Henderson Loggie will be appointed as the internal auditor for Dundee &amp; Angus College for a three-year term commencing </w:t>
            </w:r>
            <w:r w:rsidR="00AD07F0">
              <w:rPr>
                <w:bCs/>
                <w:lang w:val="en-GB"/>
              </w:rPr>
              <w:t>October</w:t>
            </w:r>
            <w:r w:rsidRPr="00E97DFC">
              <w:rPr>
                <w:bCs/>
                <w:lang w:val="en-GB"/>
              </w:rPr>
              <w:t xml:space="preserve"> 2025, with an option for extension</w:t>
            </w:r>
            <w:r w:rsidR="00AD07F0">
              <w:rPr>
                <w:bCs/>
                <w:lang w:val="en-GB"/>
              </w:rPr>
              <w:t xml:space="preserve"> of up to 2 further years</w:t>
            </w:r>
            <w:r w:rsidRPr="00E97DFC">
              <w:rPr>
                <w:bCs/>
                <w:lang w:val="en-GB"/>
              </w:rPr>
              <w:t>.</w:t>
            </w:r>
          </w:p>
          <w:p w14:paraId="7FF1107E" w14:textId="77777777" w:rsidR="00044AE9" w:rsidRPr="00E97DFC" w:rsidRDefault="00044AE9" w:rsidP="00DF6CF7">
            <w:pPr>
              <w:pStyle w:val="TableParagraph"/>
              <w:rPr>
                <w:b/>
                <w:lang w:val="en-GB"/>
              </w:rPr>
            </w:pPr>
          </w:p>
          <w:p w14:paraId="0C1D0DD4" w14:textId="43274136" w:rsidR="00044AE9" w:rsidRPr="00E97DFC" w:rsidRDefault="00044AE9" w:rsidP="00DF6CF7">
            <w:pPr>
              <w:pStyle w:val="TableParagraph"/>
              <w:rPr>
                <w:bCs/>
                <w:lang w:val="en-GB"/>
              </w:rPr>
            </w:pPr>
            <w:r w:rsidRPr="00E97DFC">
              <w:rPr>
                <w:bCs/>
                <w:lang w:val="en-GB"/>
              </w:rPr>
              <w:t>H Honeyman noted the importance of gaining a deeper understanding of the industry in which the College operates, describing this as a positive development.</w:t>
            </w:r>
          </w:p>
          <w:p w14:paraId="13DFB030" w14:textId="77777777" w:rsidR="00044AE9" w:rsidRPr="00E97DFC" w:rsidRDefault="00044AE9" w:rsidP="00DF6CF7">
            <w:pPr>
              <w:pStyle w:val="TableParagraph"/>
              <w:rPr>
                <w:bCs/>
                <w:lang w:val="en-GB"/>
              </w:rPr>
            </w:pPr>
          </w:p>
          <w:p w14:paraId="766274B3" w14:textId="3AC55099" w:rsidR="00044AE9" w:rsidRPr="00E97DFC" w:rsidRDefault="00044AE9" w:rsidP="00DF6CF7">
            <w:pPr>
              <w:pStyle w:val="TableParagraph"/>
              <w:rPr>
                <w:bCs/>
                <w:lang w:val="en-GB"/>
              </w:rPr>
            </w:pPr>
            <w:r w:rsidRPr="00E97DFC">
              <w:rPr>
                <w:bCs/>
                <w:lang w:val="en-GB"/>
              </w:rPr>
              <w:t>N Anderson confirmed that the successful supplier scored highest in both price and quality criteria.</w:t>
            </w:r>
          </w:p>
          <w:p w14:paraId="1123C05C" w14:textId="77777777" w:rsidR="00044AE9" w:rsidRPr="00E97DFC" w:rsidRDefault="00044AE9" w:rsidP="00DF6CF7">
            <w:pPr>
              <w:pStyle w:val="TableParagraph"/>
              <w:rPr>
                <w:b/>
                <w:lang w:val="en-GB"/>
              </w:rPr>
            </w:pPr>
          </w:p>
          <w:p w14:paraId="3D37782B" w14:textId="3EB1E116" w:rsidR="00044AE9" w:rsidRPr="00E97DFC" w:rsidRDefault="00044AE9" w:rsidP="00DF6CF7">
            <w:pPr>
              <w:pStyle w:val="TableParagraph"/>
              <w:rPr>
                <w:bCs/>
                <w:lang w:val="en-GB"/>
              </w:rPr>
            </w:pPr>
            <w:r w:rsidRPr="00E97DFC">
              <w:rPr>
                <w:bCs/>
                <w:lang w:val="en-GB"/>
              </w:rPr>
              <w:t>G Bell highlighted Henderson Loggie’s existing knowledge of the College as an advantage.</w:t>
            </w:r>
          </w:p>
          <w:p w14:paraId="324C10BE" w14:textId="77777777" w:rsidR="00044AE9" w:rsidRPr="00E97DFC" w:rsidRDefault="00044AE9" w:rsidP="00DF6CF7">
            <w:pPr>
              <w:pStyle w:val="TableParagraph"/>
              <w:rPr>
                <w:bCs/>
                <w:lang w:val="en-GB"/>
              </w:rPr>
            </w:pPr>
          </w:p>
          <w:p w14:paraId="1409E7CF" w14:textId="4D762EED" w:rsidR="00044AE9" w:rsidRPr="00E97DFC" w:rsidRDefault="00044AE9" w:rsidP="00DF6CF7">
            <w:pPr>
              <w:pStyle w:val="TableParagraph"/>
              <w:rPr>
                <w:bCs/>
                <w:lang w:val="en-GB"/>
              </w:rPr>
            </w:pPr>
            <w:r w:rsidRPr="00E97DFC">
              <w:rPr>
                <w:bCs/>
                <w:lang w:val="en-GB"/>
              </w:rPr>
              <w:t xml:space="preserve">H Honeyman emphasised the importance of obtaining the best service and value for the Board’s needs, noting that Henderson Loggie’s proposal was competitive on both price and service aspects. </w:t>
            </w:r>
          </w:p>
          <w:p w14:paraId="3030321B" w14:textId="77777777" w:rsidR="00044AE9" w:rsidRPr="00E97DFC" w:rsidRDefault="00044AE9" w:rsidP="00DF6CF7">
            <w:pPr>
              <w:pStyle w:val="TableParagraph"/>
              <w:rPr>
                <w:bCs/>
                <w:lang w:val="en-GB"/>
              </w:rPr>
            </w:pPr>
          </w:p>
          <w:p w14:paraId="0A5BA908" w14:textId="21839C0E" w:rsidR="00044AE9" w:rsidRPr="00E97DFC" w:rsidRDefault="00044AE9" w:rsidP="001D07FA">
            <w:pPr>
              <w:pStyle w:val="TableParagraph"/>
              <w:rPr>
                <w:bCs/>
                <w:lang w:val="en-GB"/>
              </w:rPr>
            </w:pPr>
            <w:r w:rsidRPr="00E97DFC">
              <w:rPr>
                <w:bCs/>
                <w:lang w:val="en-GB"/>
              </w:rPr>
              <w:t xml:space="preserve">The </w:t>
            </w:r>
            <w:r w:rsidR="00D32000">
              <w:rPr>
                <w:bCs/>
                <w:lang w:val="en-GB"/>
              </w:rPr>
              <w:t>C</w:t>
            </w:r>
            <w:r w:rsidRPr="00E97DFC">
              <w:rPr>
                <w:bCs/>
                <w:lang w:val="en-GB"/>
              </w:rPr>
              <w:t xml:space="preserve">ommittee formally approved the appointment of Henderson Loggie as </w:t>
            </w:r>
            <w:r w:rsidR="00D32000">
              <w:rPr>
                <w:bCs/>
                <w:lang w:val="en-GB"/>
              </w:rPr>
              <w:t xml:space="preserve">internal </w:t>
            </w:r>
            <w:r w:rsidRPr="00E97DFC">
              <w:rPr>
                <w:bCs/>
                <w:lang w:val="en-GB"/>
              </w:rPr>
              <w:t>auditors for Dundee &amp; Angus College</w:t>
            </w:r>
            <w:r w:rsidR="00D32000">
              <w:rPr>
                <w:bCs/>
                <w:lang w:val="en-GB"/>
              </w:rPr>
              <w:t xml:space="preserve"> as proposed</w:t>
            </w:r>
            <w:r w:rsidRPr="00E97DFC">
              <w:rPr>
                <w:bCs/>
                <w:lang w:val="en-GB"/>
              </w:rPr>
              <w:t>.</w:t>
            </w:r>
            <w:r w:rsidR="00D32000">
              <w:rPr>
                <w:bCs/>
                <w:lang w:val="en-GB"/>
              </w:rPr>
              <w:t xml:space="preserve"> </w:t>
            </w:r>
            <w:r w:rsidR="00D32000" w:rsidRPr="00D32000">
              <w:rPr>
                <w:b/>
                <w:lang w:val="en-GB"/>
              </w:rPr>
              <w:t>N Anderson to progress.</w:t>
            </w:r>
          </w:p>
          <w:p w14:paraId="0CA0F64C" w14:textId="77777777" w:rsidR="00044AE9" w:rsidRPr="00E97DFC" w:rsidRDefault="00044AE9" w:rsidP="001D07FA">
            <w:pPr>
              <w:pStyle w:val="TableParagraph"/>
              <w:rPr>
                <w:b/>
                <w:lang w:val="en-GB"/>
              </w:rPr>
            </w:pPr>
          </w:p>
        </w:tc>
      </w:tr>
      <w:tr w:rsidR="00D32000" w:rsidRPr="00E97DFC" w14:paraId="34EEABCC" w14:textId="77777777" w:rsidTr="00044AE9">
        <w:trPr>
          <w:trHeight w:val="748"/>
        </w:trPr>
        <w:tc>
          <w:tcPr>
            <w:tcW w:w="426" w:type="dxa"/>
          </w:tcPr>
          <w:p w14:paraId="0C0919B5" w14:textId="77777777" w:rsidR="00D32000" w:rsidRPr="00E97DFC" w:rsidRDefault="00D32000" w:rsidP="00554B6B">
            <w:pPr>
              <w:pStyle w:val="TableParagraph"/>
              <w:numPr>
                <w:ilvl w:val="0"/>
                <w:numId w:val="1"/>
              </w:numPr>
              <w:ind w:left="0" w:firstLine="0"/>
              <w:jc w:val="center"/>
              <w:rPr>
                <w:b/>
                <w:lang w:val="en-GB"/>
              </w:rPr>
            </w:pPr>
          </w:p>
        </w:tc>
        <w:tc>
          <w:tcPr>
            <w:tcW w:w="9497" w:type="dxa"/>
          </w:tcPr>
          <w:p w14:paraId="0C7E5BAE" w14:textId="77777777" w:rsidR="00D92426" w:rsidRPr="00D92426" w:rsidRDefault="00D92426" w:rsidP="001D07FA">
            <w:pPr>
              <w:pStyle w:val="TableParagraph"/>
              <w:rPr>
                <w:b/>
                <w:bCs/>
                <w:lang w:val="en-GB"/>
              </w:rPr>
            </w:pPr>
            <w:r w:rsidRPr="00D92426">
              <w:rPr>
                <w:b/>
                <w:bCs/>
                <w:lang w:val="en-GB"/>
              </w:rPr>
              <w:t>DATE OF NEXT MEETING</w:t>
            </w:r>
          </w:p>
          <w:p w14:paraId="387861ED" w14:textId="77777777" w:rsidR="00D92426" w:rsidRDefault="00D92426" w:rsidP="001D07FA">
            <w:pPr>
              <w:pStyle w:val="TableParagraph"/>
              <w:rPr>
                <w:lang w:val="en-GB"/>
              </w:rPr>
            </w:pPr>
          </w:p>
          <w:p w14:paraId="542BF1F8" w14:textId="668FDF5A" w:rsidR="00D32000" w:rsidRPr="00E97DFC" w:rsidRDefault="00D92426" w:rsidP="001D07FA">
            <w:pPr>
              <w:pStyle w:val="TableParagraph"/>
              <w:rPr>
                <w:b/>
                <w:lang w:val="en-GB"/>
              </w:rPr>
            </w:pPr>
            <w:r w:rsidRPr="00706832">
              <w:rPr>
                <w:lang w:val="en-GB"/>
              </w:rPr>
              <w:t xml:space="preserve">Tuesday </w:t>
            </w:r>
            <w:r>
              <w:rPr>
                <w:lang w:val="en-GB"/>
              </w:rPr>
              <w:t xml:space="preserve">16 September </w:t>
            </w:r>
            <w:r w:rsidRPr="00706832">
              <w:rPr>
                <w:lang w:val="en-GB"/>
              </w:rPr>
              <w:t>2025 at 5.00pm in Room K-TO-624, Kingsway Campus</w:t>
            </w:r>
          </w:p>
        </w:tc>
      </w:tr>
    </w:tbl>
    <w:p w14:paraId="20DA285F" w14:textId="77777777" w:rsidR="00554B6B" w:rsidRDefault="00554B6B" w:rsidP="00554B6B"/>
    <w:p w14:paraId="7A01D09B" w14:textId="77777777" w:rsidR="00CD0514" w:rsidRDefault="00CD0514" w:rsidP="00554B6B"/>
    <w:tbl>
      <w:tblPr>
        <w:tblpPr w:leftFromText="180" w:rightFromText="180" w:vertAnchor="text" w:tblpY="1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54"/>
        <w:gridCol w:w="1843"/>
        <w:gridCol w:w="2268"/>
      </w:tblGrid>
      <w:tr w:rsidR="007B0382" w:rsidRPr="00D43501" w14:paraId="38C204D2" w14:textId="77777777" w:rsidTr="00A77D86">
        <w:trPr>
          <w:trHeight w:val="310"/>
        </w:trPr>
        <w:tc>
          <w:tcPr>
            <w:tcW w:w="5954" w:type="dxa"/>
          </w:tcPr>
          <w:p w14:paraId="0A248562" w14:textId="77777777" w:rsidR="007B0382" w:rsidRPr="00D43501" w:rsidRDefault="007B0382" w:rsidP="00F60786">
            <w:pPr>
              <w:pStyle w:val="TableParagraph"/>
              <w:rPr>
                <w:b/>
              </w:rPr>
            </w:pPr>
            <w:r w:rsidRPr="00D43501">
              <w:rPr>
                <w:b/>
                <w:u w:val="thick"/>
              </w:rPr>
              <w:t>Action Point Summary</w:t>
            </w:r>
          </w:p>
        </w:tc>
        <w:tc>
          <w:tcPr>
            <w:tcW w:w="1843" w:type="dxa"/>
          </w:tcPr>
          <w:p w14:paraId="361DC2FD" w14:textId="77777777" w:rsidR="007B0382" w:rsidRPr="00D43501" w:rsidRDefault="007B0382" w:rsidP="00F60786">
            <w:pPr>
              <w:pStyle w:val="TableParagraph"/>
              <w:rPr>
                <w:rFonts w:ascii="Times New Roman"/>
              </w:rPr>
            </w:pPr>
          </w:p>
        </w:tc>
        <w:tc>
          <w:tcPr>
            <w:tcW w:w="2268" w:type="dxa"/>
          </w:tcPr>
          <w:p w14:paraId="2ECE3B34" w14:textId="77777777" w:rsidR="007B0382" w:rsidRPr="00D43501" w:rsidRDefault="007B0382" w:rsidP="00F60786">
            <w:pPr>
              <w:pStyle w:val="TableParagraph"/>
              <w:rPr>
                <w:rFonts w:ascii="Times New Roman"/>
              </w:rPr>
            </w:pPr>
          </w:p>
        </w:tc>
      </w:tr>
      <w:tr w:rsidR="007B0382" w:rsidRPr="00D43501" w14:paraId="428F3CF0" w14:textId="77777777" w:rsidTr="00A77D86">
        <w:trPr>
          <w:trHeight w:val="374"/>
        </w:trPr>
        <w:tc>
          <w:tcPr>
            <w:tcW w:w="5954" w:type="dxa"/>
          </w:tcPr>
          <w:p w14:paraId="063FB858" w14:textId="77777777" w:rsidR="007B0382" w:rsidRPr="00D43501" w:rsidRDefault="007B0382" w:rsidP="00F60786">
            <w:pPr>
              <w:pStyle w:val="TableParagraph"/>
              <w:jc w:val="center"/>
              <w:rPr>
                <w:b/>
              </w:rPr>
            </w:pPr>
            <w:r w:rsidRPr="00D43501">
              <w:rPr>
                <w:b/>
              </w:rPr>
              <w:t>Action</w:t>
            </w:r>
          </w:p>
        </w:tc>
        <w:tc>
          <w:tcPr>
            <w:tcW w:w="1843" w:type="dxa"/>
          </w:tcPr>
          <w:p w14:paraId="558FC975" w14:textId="77777777" w:rsidR="007B0382" w:rsidRPr="00D43501" w:rsidRDefault="007B0382" w:rsidP="00F60786">
            <w:pPr>
              <w:pStyle w:val="TableParagraph"/>
              <w:jc w:val="center"/>
              <w:rPr>
                <w:b/>
              </w:rPr>
            </w:pPr>
            <w:r w:rsidRPr="00D43501">
              <w:rPr>
                <w:b/>
              </w:rPr>
              <w:t>Responsibility</w:t>
            </w:r>
          </w:p>
        </w:tc>
        <w:tc>
          <w:tcPr>
            <w:tcW w:w="2268" w:type="dxa"/>
          </w:tcPr>
          <w:p w14:paraId="08305DE8" w14:textId="77777777" w:rsidR="007B0382" w:rsidRPr="00D43501" w:rsidRDefault="007B0382" w:rsidP="00F60786">
            <w:pPr>
              <w:pStyle w:val="TableParagraph"/>
              <w:jc w:val="center"/>
              <w:rPr>
                <w:b/>
              </w:rPr>
            </w:pPr>
            <w:r w:rsidRPr="00D43501">
              <w:rPr>
                <w:b/>
              </w:rPr>
              <w:t>Date</w:t>
            </w:r>
          </w:p>
        </w:tc>
      </w:tr>
      <w:tr w:rsidR="007B0382" w:rsidRPr="00D43501" w14:paraId="718B5356" w14:textId="77777777" w:rsidTr="00A77D86">
        <w:trPr>
          <w:trHeight w:val="374"/>
        </w:trPr>
        <w:tc>
          <w:tcPr>
            <w:tcW w:w="5954" w:type="dxa"/>
          </w:tcPr>
          <w:p w14:paraId="0C218ABF" w14:textId="5AB8A19D" w:rsidR="00A77D86" w:rsidRPr="00592F9F" w:rsidRDefault="0074668D" w:rsidP="00F60786">
            <w:pPr>
              <w:pStyle w:val="TableParagraph"/>
              <w:rPr>
                <w:bCs/>
              </w:rPr>
            </w:pPr>
            <w:r>
              <w:rPr>
                <w:bCs/>
              </w:rPr>
              <w:t>Update on audit progress to be provided to the next meeting</w:t>
            </w:r>
          </w:p>
        </w:tc>
        <w:tc>
          <w:tcPr>
            <w:tcW w:w="1843" w:type="dxa"/>
          </w:tcPr>
          <w:p w14:paraId="7DD486C4" w14:textId="5E846B58" w:rsidR="007B0382" w:rsidRPr="00592F9F" w:rsidRDefault="0074668D" w:rsidP="00F60786">
            <w:pPr>
              <w:pStyle w:val="TableParagraph"/>
              <w:rPr>
                <w:bCs/>
              </w:rPr>
            </w:pPr>
            <w:r>
              <w:rPr>
                <w:bCs/>
              </w:rPr>
              <w:t>N Anderson</w:t>
            </w:r>
          </w:p>
        </w:tc>
        <w:tc>
          <w:tcPr>
            <w:tcW w:w="2268" w:type="dxa"/>
          </w:tcPr>
          <w:p w14:paraId="5D43150C" w14:textId="14518850" w:rsidR="007B0382" w:rsidRPr="00592F9F" w:rsidRDefault="0074668D" w:rsidP="00F60786">
            <w:pPr>
              <w:pStyle w:val="TableParagraph"/>
              <w:jc w:val="center"/>
              <w:rPr>
                <w:bCs/>
              </w:rPr>
            </w:pPr>
            <w:r>
              <w:rPr>
                <w:bCs/>
              </w:rPr>
              <w:t>16 September 2025</w:t>
            </w:r>
          </w:p>
        </w:tc>
      </w:tr>
      <w:tr w:rsidR="007B0382" w:rsidRPr="00D43501" w14:paraId="56573E1C" w14:textId="77777777" w:rsidTr="00A77D86">
        <w:trPr>
          <w:trHeight w:val="374"/>
        </w:trPr>
        <w:tc>
          <w:tcPr>
            <w:tcW w:w="5954" w:type="dxa"/>
          </w:tcPr>
          <w:p w14:paraId="0908EC41" w14:textId="3C151EFF" w:rsidR="00190773" w:rsidRDefault="0074668D" w:rsidP="00131101">
            <w:pPr>
              <w:pStyle w:val="TableParagraph"/>
              <w:rPr>
                <w:bCs/>
              </w:rPr>
            </w:pPr>
            <w:r>
              <w:rPr>
                <w:bCs/>
              </w:rPr>
              <w:t>Risk Register to be updated</w:t>
            </w:r>
          </w:p>
        </w:tc>
        <w:tc>
          <w:tcPr>
            <w:tcW w:w="1843" w:type="dxa"/>
          </w:tcPr>
          <w:p w14:paraId="365C1D35" w14:textId="22D8871C" w:rsidR="007B0382" w:rsidRPr="00592F9F" w:rsidRDefault="0074668D" w:rsidP="00F60786">
            <w:pPr>
              <w:pStyle w:val="TableParagraph"/>
              <w:rPr>
                <w:bCs/>
              </w:rPr>
            </w:pPr>
            <w:r>
              <w:rPr>
                <w:bCs/>
              </w:rPr>
              <w:t>S Taylor</w:t>
            </w:r>
          </w:p>
        </w:tc>
        <w:tc>
          <w:tcPr>
            <w:tcW w:w="2268" w:type="dxa"/>
          </w:tcPr>
          <w:p w14:paraId="06D93873" w14:textId="2A108D03" w:rsidR="007B0382" w:rsidRPr="00592F9F" w:rsidRDefault="0074668D" w:rsidP="00F60786">
            <w:pPr>
              <w:pStyle w:val="TableParagraph"/>
              <w:jc w:val="center"/>
              <w:rPr>
                <w:bCs/>
              </w:rPr>
            </w:pPr>
            <w:r>
              <w:rPr>
                <w:bCs/>
              </w:rPr>
              <w:t>13 June 2025</w:t>
            </w:r>
          </w:p>
        </w:tc>
      </w:tr>
      <w:tr w:rsidR="007B0382" w:rsidRPr="00D43501" w14:paraId="333CDEB2" w14:textId="77777777" w:rsidTr="00A77D86">
        <w:trPr>
          <w:trHeight w:val="374"/>
        </w:trPr>
        <w:tc>
          <w:tcPr>
            <w:tcW w:w="5954" w:type="dxa"/>
          </w:tcPr>
          <w:p w14:paraId="6BF6AA0F" w14:textId="46BC527A" w:rsidR="00967163" w:rsidRDefault="00F92AC9" w:rsidP="00F60786">
            <w:pPr>
              <w:pStyle w:val="TableParagraph"/>
              <w:rPr>
                <w:bCs/>
              </w:rPr>
            </w:pPr>
            <w:r>
              <w:rPr>
                <w:bCs/>
              </w:rPr>
              <w:t>Internal Audit contract to be implemented</w:t>
            </w:r>
          </w:p>
        </w:tc>
        <w:tc>
          <w:tcPr>
            <w:tcW w:w="1843" w:type="dxa"/>
          </w:tcPr>
          <w:p w14:paraId="70E7053F" w14:textId="13004335" w:rsidR="007B0382" w:rsidRDefault="00F92AC9" w:rsidP="00F60786">
            <w:pPr>
              <w:pStyle w:val="TableParagraph"/>
              <w:rPr>
                <w:bCs/>
              </w:rPr>
            </w:pPr>
            <w:r>
              <w:rPr>
                <w:bCs/>
              </w:rPr>
              <w:t>N Anderson</w:t>
            </w:r>
          </w:p>
        </w:tc>
        <w:tc>
          <w:tcPr>
            <w:tcW w:w="2268" w:type="dxa"/>
          </w:tcPr>
          <w:p w14:paraId="69C12F34" w14:textId="6B2783B8" w:rsidR="007B0382" w:rsidRDefault="00F92AC9" w:rsidP="00F60786">
            <w:pPr>
              <w:pStyle w:val="TableParagraph"/>
              <w:jc w:val="center"/>
              <w:rPr>
                <w:bCs/>
              </w:rPr>
            </w:pPr>
            <w:r>
              <w:rPr>
                <w:bCs/>
              </w:rPr>
              <w:t>16 September 2025</w:t>
            </w:r>
          </w:p>
        </w:tc>
      </w:tr>
    </w:tbl>
    <w:p w14:paraId="1D729B47" w14:textId="77777777" w:rsidR="00ED7A2C" w:rsidRDefault="00ED7A2C"/>
    <w:sectPr w:rsidR="00ED7A2C" w:rsidSect="00B65D4C">
      <w:footerReference w:type="default" r:id="rId11"/>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6330F" w14:textId="77777777" w:rsidR="00491A66" w:rsidRDefault="00491A66" w:rsidP="00210686">
      <w:pPr>
        <w:spacing w:after="0" w:line="240" w:lineRule="auto"/>
      </w:pPr>
      <w:r>
        <w:separator/>
      </w:r>
    </w:p>
  </w:endnote>
  <w:endnote w:type="continuationSeparator" w:id="0">
    <w:p w14:paraId="64FE09A5" w14:textId="77777777" w:rsidR="00491A66" w:rsidRDefault="00491A66" w:rsidP="00210686">
      <w:pPr>
        <w:spacing w:after="0" w:line="240" w:lineRule="auto"/>
      </w:pPr>
      <w:r>
        <w:continuationSeparator/>
      </w:r>
    </w:p>
  </w:endnote>
  <w:endnote w:type="continuationNotice" w:id="1">
    <w:p w14:paraId="1C8C0D82" w14:textId="77777777" w:rsidR="00491A66" w:rsidRDefault="00491A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252692"/>
      <w:docPartObj>
        <w:docPartGallery w:val="Page Numbers (Bottom of Page)"/>
        <w:docPartUnique/>
      </w:docPartObj>
    </w:sdtPr>
    <w:sdtContent>
      <w:sdt>
        <w:sdtPr>
          <w:id w:val="-1769616900"/>
          <w:docPartObj>
            <w:docPartGallery w:val="Page Numbers (Top of Page)"/>
            <w:docPartUnique/>
          </w:docPartObj>
        </w:sdtPr>
        <w:sdtContent>
          <w:p w14:paraId="1F1EEED9" w14:textId="5E5F66D3" w:rsidR="00210686" w:rsidRDefault="00210686">
            <w:pPr>
              <w:pStyle w:val="Footer"/>
              <w:jc w:val="right"/>
            </w:pPr>
            <w:r w:rsidRPr="00210686">
              <w:rPr>
                <w:rFonts w:ascii="Arial" w:hAnsi="Arial" w:cs="Arial"/>
                <w:sz w:val="20"/>
                <w:szCs w:val="20"/>
              </w:rPr>
              <w:t xml:space="preserve">Page </w:t>
            </w:r>
            <w:r w:rsidRPr="00210686">
              <w:rPr>
                <w:rFonts w:ascii="Arial" w:hAnsi="Arial" w:cs="Arial"/>
                <w:sz w:val="20"/>
                <w:szCs w:val="20"/>
              </w:rPr>
              <w:fldChar w:fldCharType="begin"/>
            </w:r>
            <w:r w:rsidRPr="00210686">
              <w:rPr>
                <w:rFonts w:ascii="Arial" w:hAnsi="Arial" w:cs="Arial"/>
                <w:sz w:val="20"/>
                <w:szCs w:val="20"/>
              </w:rPr>
              <w:instrText xml:space="preserve"> PAGE </w:instrText>
            </w:r>
            <w:r w:rsidRPr="00210686">
              <w:rPr>
                <w:rFonts w:ascii="Arial" w:hAnsi="Arial" w:cs="Arial"/>
                <w:sz w:val="20"/>
                <w:szCs w:val="20"/>
              </w:rPr>
              <w:fldChar w:fldCharType="separate"/>
            </w:r>
            <w:r w:rsidRPr="00210686">
              <w:rPr>
                <w:rFonts w:ascii="Arial" w:hAnsi="Arial" w:cs="Arial"/>
                <w:noProof/>
                <w:sz w:val="20"/>
                <w:szCs w:val="20"/>
              </w:rPr>
              <w:t>2</w:t>
            </w:r>
            <w:r w:rsidRPr="00210686">
              <w:rPr>
                <w:rFonts w:ascii="Arial" w:hAnsi="Arial" w:cs="Arial"/>
                <w:sz w:val="20"/>
                <w:szCs w:val="20"/>
              </w:rPr>
              <w:fldChar w:fldCharType="end"/>
            </w:r>
            <w:r w:rsidRPr="00210686">
              <w:rPr>
                <w:rFonts w:ascii="Arial" w:hAnsi="Arial" w:cs="Arial"/>
                <w:sz w:val="20"/>
                <w:szCs w:val="20"/>
              </w:rPr>
              <w:t xml:space="preserve"> of </w:t>
            </w:r>
            <w:r w:rsidRPr="00210686">
              <w:rPr>
                <w:rFonts w:ascii="Arial" w:hAnsi="Arial" w:cs="Arial"/>
                <w:sz w:val="20"/>
                <w:szCs w:val="20"/>
              </w:rPr>
              <w:fldChar w:fldCharType="begin"/>
            </w:r>
            <w:r w:rsidRPr="00210686">
              <w:rPr>
                <w:rFonts w:ascii="Arial" w:hAnsi="Arial" w:cs="Arial"/>
                <w:sz w:val="20"/>
                <w:szCs w:val="20"/>
              </w:rPr>
              <w:instrText xml:space="preserve"> NUMPAGES  </w:instrText>
            </w:r>
            <w:r w:rsidRPr="00210686">
              <w:rPr>
                <w:rFonts w:ascii="Arial" w:hAnsi="Arial" w:cs="Arial"/>
                <w:sz w:val="20"/>
                <w:szCs w:val="20"/>
              </w:rPr>
              <w:fldChar w:fldCharType="separate"/>
            </w:r>
            <w:r w:rsidRPr="00210686">
              <w:rPr>
                <w:rFonts w:ascii="Arial" w:hAnsi="Arial" w:cs="Arial"/>
                <w:noProof/>
                <w:sz w:val="20"/>
                <w:szCs w:val="20"/>
              </w:rPr>
              <w:t>2</w:t>
            </w:r>
            <w:r w:rsidRPr="00210686">
              <w:rPr>
                <w:rFonts w:ascii="Arial" w:hAnsi="Arial" w:cs="Arial"/>
                <w:sz w:val="20"/>
                <w:szCs w:val="20"/>
              </w:rPr>
              <w:fldChar w:fldCharType="end"/>
            </w:r>
          </w:p>
        </w:sdtContent>
      </w:sdt>
    </w:sdtContent>
  </w:sdt>
  <w:p w14:paraId="1E30F265" w14:textId="77777777" w:rsidR="00210686" w:rsidRDefault="0021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D7C2C" w14:textId="77777777" w:rsidR="00491A66" w:rsidRDefault="00491A66" w:rsidP="00210686">
      <w:pPr>
        <w:spacing w:after="0" w:line="240" w:lineRule="auto"/>
      </w:pPr>
      <w:r>
        <w:separator/>
      </w:r>
    </w:p>
  </w:footnote>
  <w:footnote w:type="continuationSeparator" w:id="0">
    <w:p w14:paraId="53B890D8" w14:textId="77777777" w:rsidR="00491A66" w:rsidRDefault="00491A66" w:rsidP="00210686">
      <w:pPr>
        <w:spacing w:after="0" w:line="240" w:lineRule="auto"/>
      </w:pPr>
      <w:r>
        <w:continuationSeparator/>
      </w:r>
    </w:p>
  </w:footnote>
  <w:footnote w:type="continuationNotice" w:id="1">
    <w:p w14:paraId="21289830" w14:textId="77777777" w:rsidR="00491A66" w:rsidRDefault="00491A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F5B47"/>
    <w:multiLevelType w:val="hybridMultilevel"/>
    <w:tmpl w:val="19DA1638"/>
    <w:lvl w:ilvl="0" w:tplc="A2B6C69A">
      <w:start w:val="1"/>
      <w:numFmt w:val="low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ED11D2"/>
    <w:multiLevelType w:val="multilevel"/>
    <w:tmpl w:val="171E1F88"/>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2303B4"/>
    <w:multiLevelType w:val="multilevel"/>
    <w:tmpl w:val="F59E2F4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8E641BA"/>
    <w:multiLevelType w:val="multilevel"/>
    <w:tmpl w:val="F59E2F4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379065">
    <w:abstractNumId w:val="3"/>
  </w:num>
  <w:num w:numId="2" w16cid:durableId="1454910208">
    <w:abstractNumId w:val="1"/>
  </w:num>
  <w:num w:numId="3" w16cid:durableId="179241018">
    <w:abstractNumId w:val="0"/>
  </w:num>
  <w:num w:numId="4" w16cid:durableId="1264608732">
    <w:abstractNumId w:val="2"/>
  </w:num>
  <w:num w:numId="5" w16cid:durableId="1191643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6B"/>
    <w:rsid w:val="00006E0D"/>
    <w:rsid w:val="000203FF"/>
    <w:rsid w:val="00023656"/>
    <w:rsid w:val="0002775D"/>
    <w:rsid w:val="00036969"/>
    <w:rsid w:val="00037F9B"/>
    <w:rsid w:val="00044AE9"/>
    <w:rsid w:val="00047AB2"/>
    <w:rsid w:val="00061367"/>
    <w:rsid w:val="0006433E"/>
    <w:rsid w:val="00065F9B"/>
    <w:rsid w:val="000722F2"/>
    <w:rsid w:val="00075CB3"/>
    <w:rsid w:val="00095CF9"/>
    <w:rsid w:val="000A4FB1"/>
    <w:rsid w:val="000B0AE9"/>
    <w:rsid w:val="000B472D"/>
    <w:rsid w:val="000B5ABE"/>
    <w:rsid w:val="000E0662"/>
    <w:rsid w:val="000F5E6F"/>
    <w:rsid w:val="00104EB5"/>
    <w:rsid w:val="00107FB0"/>
    <w:rsid w:val="00112D23"/>
    <w:rsid w:val="0011764F"/>
    <w:rsid w:val="00117DC9"/>
    <w:rsid w:val="00131101"/>
    <w:rsid w:val="0017093C"/>
    <w:rsid w:val="00171928"/>
    <w:rsid w:val="00175B28"/>
    <w:rsid w:val="00190773"/>
    <w:rsid w:val="00194242"/>
    <w:rsid w:val="001B60C3"/>
    <w:rsid w:val="001C0E96"/>
    <w:rsid w:val="001C295A"/>
    <w:rsid w:val="001E3CC3"/>
    <w:rsid w:val="001E4F12"/>
    <w:rsid w:val="001E6C50"/>
    <w:rsid w:val="001F5F7E"/>
    <w:rsid w:val="00200480"/>
    <w:rsid w:val="00201BE0"/>
    <w:rsid w:val="00210686"/>
    <w:rsid w:val="00215F20"/>
    <w:rsid w:val="002245AD"/>
    <w:rsid w:val="00225AE5"/>
    <w:rsid w:val="0023122A"/>
    <w:rsid w:val="00246C26"/>
    <w:rsid w:val="00251996"/>
    <w:rsid w:val="00257A22"/>
    <w:rsid w:val="00263E43"/>
    <w:rsid w:val="002755EA"/>
    <w:rsid w:val="002851CE"/>
    <w:rsid w:val="002A01C9"/>
    <w:rsid w:val="002D084B"/>
    <w:rsid w:val="002D368A"/>
    <w:rsid w:val="002E69F7"/>
    <w:rsid w:val="002E6B0E"/>
    <w:rsid w:val="002F0D8D"/>
    <w:rsid w:val="002F20EC"/>
    <w:rsid w:val="002F7EFC"/>
    <w:rsid w:val="00306DB7"/>
    <w:rsid w:val="00335993"/>
    <w:rsid w:val="00346481"/>
    <w:rsid w:val="00370F9B"/>
    <w:rsid w:val="00377436"/>
    <w:rsid w:val="00397A26"/>
    <w:rsid w:val="003D634D"/>
    <w:rsid w:val="003F3250"/>
    <w:rsid w:val="003F3458"/>
    <w:rsid w:val="0041182F"/>
    <w:rsid w:val="00431F69"/>
    <w:rsid w:val="00432737"/>
    <w:rsid w:val="0043432E"/>
    <w:rsid w:val="0043592B"/>
    <w:rsid w:val="0043637A"/>
    <w:rsid w:val="00447BE2"/>
    <w:rsid w:val="00460493"/>
    <w:rsid w:val="00460D5F"/>
    <w:rsid w:val="00467A2A"/>
    <w:rsid w:val="00467F58"/>
    <w:rsid w:val="00491A66"/>
    <w:rsid w:val="00494940"/>
    <w:rsid w:val="004A6BF9"/>
    <w:rsid w:val="004C0FD3"/>
    <w:rsid w:val="004C4BA4"/>
    <w:rsid w:val="004E6DB8"/>
    <w:rsid w:val="004E766C"/>
    <w:rsid w:val="00502801"/>
    <w:rsid w:val="00512C88"/>
    <w:rsid w:val="00531B84"/>
    <w:rsid w:val="005324C9"/>
    <w:rsid w:val="00554B6B"/>
    <w:rsid w:val="00557CA7"/>
    <w:rsid w:val="0056025E"/>
    <w:rsid w:val="00562AFF"/>
    <w:rsid w:val="005718C9"/>
    <w:rsid w:val="005763C4"/>
    <w:rsid w:val="00576B09"/>
    <w:rsid w:val="00591D6C"/>
    <w:rsid w:val="00594BB7"/>
    <w:rsid w:val="005A5775"/>
    <w:rsid w:val="005A646A"/>
    <w:rsid w:val="005B5849"/>
    <w:rsid w:val="005C6807"/>
    <w:rsid w:val="005D16B6"/>
    <w:rsid w:val="005E1168"/>
    <w:rsid w:val="005E2843"/>
    <w:rsid w:val="005E37EB"/>
    <w:rsid w:val="005F09AD"/>
    <w:rsid w:val="005F311B"/>
    <w:rsid w:val="00610538"/>
    <w:rsid w:val="0061136A"/>
    <w:rsid w:val="00612A60"/>
    <w:rsid w:val="00613E5D"/>
    <w:rsid w:val="00622679"/>
    <w:rsid w:val="00637382"/>
    <w:rsid w:val="00644B86"/>
    <w:rsid w:val="00646305"/>
    <w:rsid w:val="00651B03"/>
    <w:rsid w:val="00653E53"/>
    <w:rsid w:val="00681F33"/>
    <w:rsid w:val="00682E52"/>
    <w:rsid w:val="006845B7"/>
    <w:rsid w:val="0069083F"/>
    <w:rsid w:val="006921B0"/>
    <w:rsid w:val="00696AE4"/>
    <w:rsid w:val="006C761E"/>
    <w:rsid w:val="006D138A"/>
    <w:rsid w:val="006E2504"/>
    <w:rsid w:val="007072B6"/>
    <w:rsid w:val="00710001"/>
    <w:rsid w:val="00730C2F"/>
    <w:rsid w:val="0074668D"/>
    <w:rsid w:val="0075118E"/>
    <w:rsid w:val="00751229"/>
    <w:rsid w:val="007538F3"/>
    <w:rsid w:val="00754113"/>
    <w:rsid w:val="00767979"/>
    <w:rsid w:val="007B0382"/>
    <w:rsid w:val="007B7FEF"/>
    <w:rsid w:val="007C1CA4"/>
    <w:rsid w:val="007C21B5"/>
    <w:rsid w:val="007C26D4"/>
    <w:rsid w:val="007C7E3B"/>
    <w:rsid w:val="007D1E9E"/>
    <w:rsid w:val="007E0EB2"/>
    <w:rsid w:val="00801122"/>
    <w:rsid w:val="00802AF7"/>
    <w:rsid w:val="00807302"/>
    <w:rsid w:val="00812EAB"/>
    <w:rsid w:val="008136E8"/>
    <w:rsid w:val="00824E13"/>
    <w:rsid w:val="00830B24"/>
    <w:rsid w:val="00874B45"/>
    <w:rsid w:val="008851AF"/>
    <w:rsid w:val="008A14CD"/>
    <w:rsid w:val="008D04EE"/>
    <w:rsid w:val="008D5BF2"/>
    <w:rsid w:val="0090034F"/>
    <w:rsid w:val="00902A53"/>
    <w:rsid w:val="00911E27"/>
    <w:rsid w:val="009133B1"/>
    <w:rsid w:val="0092277D"/>
    <w:rsid w:val="009236BE"/>
    <w:rsid w:val="00923C5A"/>
    <w:rsid w:val="00926E1C"/>
    <w:rsid w:val="009278A5"/>
    <w:rsid w:val="00927FCF"/>
    <w:rsid w:val="0093263F"/>
    <w:rsid w:val="009604E2"/>
    <w:rsid w:val="00967163"/>
    <w:rsid w:val="009678D6"/>
    <w:rsid w:val="0097131F"/>
    <w:rsid w:val="00986171"/>
    <w:rsid w:val="00991A0C"/>
    <w:rsid w:val="009A48F0"/>
    <w:rsid w:val="009B2568"/>
    <w:rsid w:val="009C0361"/>
    <w:rsid w:val="009E07C7"/>
    <w:rsid w:val="009F7F66"/>
    <w:rsid w:val="00A0065B"/>
    <w:rsid w:val="00A03D76"/>
    <w:rsid w:val="00A063C3"/>
    <w:rsid w:val="00A219D4"/>
    <w:rsid w:val="00A25189"/>
    <w:rsid w:val="00A37949"/>
    <w:rsid w:val="00A77D86"/>
    <w:rsid w:val="00A821D9"/>
    <w:rsid w:val="00AA03D0"/>
    <w:rsid w:val="00AA0413"/>
    <w:rsid w:val="00AB25FA"/>
    <w:rsid w:val="00AB6418"/>
    <w:rsid w:val="00AC65E3"/>
    <w:rsid w:val="00AD07F0"/>
    <w:rsid w:val="00AD3542"/>
    <w:rsid w:val="00AF2379"/>
    <w:rsid w:val="00AF4ACF"/>
    <w:rsid w:val="00B01DC3"/>
    <w:rsid w:val="00B130E5"/>
    <w:rsid w:val="00B15AE2"/>
    <w:rsid w:val="00B2753D"/>
    <w:rsid w:val="00B37BA6"/>
    <w:rsid w:val="00B45F12"/>
    <w:rsid w:val="00B65C21"/>
    <w:rsid w:val="00B65D4C"/>
    <w:rsid w:val="00B904E9"/>
    <w:rsid w:val="00B927CF"/>
    <w:rsid w:val="00BA5377"/>
    <w:rsid w:val="00BC2F75"/>
    <w:rsid w:val="00BD75BB"/>
    <w:rsid w:val="00BE0DD9"/>
    <w:rsid w:val="00BE4C52"/>
    <w:rsid w:val="00BE7B22"/>
    <w:rsid w:val="00BF3A36"/>
    <w:rsid w:val="00C03174"/>
    <w:rsid w:val="00C05914"/>
    <w:rsid w:val="00C26C7D"/>
    <w:rsid w:val="00C3168C"/>
    <w:rsid w:val="00C36A11"/>
    <w:rsid w:val="00C452AB"/>
    <w:rsid w:val="00C5323B"/>
    <w:rsid w:val="00C55AB8"/>
    <w:rsid w:val="00C70C19"/>
    <w:rsid w:val="00C718D8"/>
    <w:rsid w:val="00C81A27"/>
    <w:rsid w:val="00C879E7"/>
    <w:rsid w:val="00C922A1"/>
    <w:rsid w:val="00C93876"/>
    <w:rsid w:val="00CA1D21"/>
    <w:rsid w:val="00CB33BE"/>
    <w:rsid w:val="00CB5E58"/>
    <w:rsid w:val="00CD0514"/>
    <w:rsid w:val="00CD6950"/>
    <w:rsid w:val="00CF54B8"/>
    <w:rsid w:val="00CF74F9"/>
    <w:rsid w:val="00D011A7"/>
    <w:rsid w:val="00D03D18"/>
    <w:rsid w:val="00D303BD"/>
    <w:rsid w:val="00D32000"/>
    <w:rsid w:val="00D408A9"/>
    <w:rsid w:val="00D46D99"/>
    <w:rsid w:val="00D515EC"/>
    <w:rsid w:val="00D555B2"/>
    <w:rsid w:val="00D5603C"/>
    <w:rsid w:val="00D83A0B"/>
    <w:rsid w:val="00D83A7F"/>
    <w:rsid w:val="00D84797"/>
    <w:rsid w:val="00D90199"/>
    <w:rsid w:val="00D92426"/>
    <w:rsid w:val="00D961CA"/>
    <w:rsid w:val="00DA3CDD"/>
    <w:rsid w:val="00DD2BB8"/>
    <w:rsid w:val="00DE3BAE"/>
    <w:rsid w:val="00DE6513"/>
    <w:rsid w:val="00DF6CF7"/>
    <w:rsid w:val="00E0048B"/>
    <w:rsid w:val="00E20761"/>
    <w:rsid w:val="00E27202"/>
    <w:rsid w:val="00E455A0"/>
    <w:rsid w:val="00E51789"/>
    <w:rsid w:val="00E55847"/>
    <w:rsid w:val="00E67CE1"/>
    <w:rsid w:val="00E725D4"/>
    <w:rsid w:val="00E73B35"/>
    <w:rsid w:val="00E97DFC"/>
    <w:rsid w:val="00EA2EDA"/>
    <w:rsid w:val="00EB464F"/>
    <w:rsid w:val="00EC3EDC"/>
    <w:rsid w:val="00ED2DF3"/>
    <w:rsid w:val="00ED7A2C"/>
    <w:rsid w:val="00F05E3B"/>
    <w:rsid w:val="00F062EA"/>
    <w:rsid w:val="00F10C1F"/>
    <w:rsid w:val="00F31F89"/>
    <w:rsid w:val="00F55F72"/>
    <w:rsid w:val="00F56A7C"/>
    <w:rsid w:val="00F92AC9"/>
    <w:rsid w:val="00F968D7"/>
    <w:rsid w:val="00FB45C1"/>
    <w:rsid w:val="00FC013C"/>
    <w:rsid w:val="00FC21B9"/>
    <w:rsid w:val="00FD36B8"/>
    <w:rsid w:val="00FD3BE3"/>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639B"/>
  <w15:chartTrackingRefBased/>
  <w15:docId w15:val="{FA9AEAC8-E137-42B4-B7B2-3929BB4E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6B"/>
    <w:pPr>
      <w:spacing w:line="259" w:lineRule="auto"/>
    </w:pPr>
    <w:rPr>
      <w:rFonts w:ascii="Calibri" w:eastAsia="Calibri" w:hAnsi="Calibri" w:cs="Calibri"/>
      <w:color w:val="000000"/>
      <w:kern w:val="0"/>
      <w:sz w:val="22"/>
      <w:szCs w:val="22"/>
      <w:lang w:eastAsia="en-GB"/>
      <w14:ligatures w14:val="none"/>
    </w:rPr>
  </w:style>
  <w:style w:type="paragraph" w:styleId="Heading1">
    <w:name w:val="heading 1"/>
    <w:basedOn w:val="Normal"/>
    <w:next w:val="Normal"/>
    <w:link w:val="Heading1Char"/>
    <w:uiPriority w:val="9"/>
    <w:qFormat/>
    <w:rsid w:val="00554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B6B"/>
    <w:rPr>
      <w:rFonts w:eastAsiaTheme="majorEastAsia" w:cstheme="majorBidi"/>
      <w:color w:val="272727" w:themeColor="text1" w:themeTint="D8"/>
    </w:rPr>
  </w:style>
  <w:style w:type="paragraph" w:styleId="Title">
    <w:name w:val="Title"/>
    <w:basedOn w:val="Normal"/>
    <w:next w:val="Normal"/>
    <w:link w:val="TitleChar"/>
    <w:uiPriority w:val="10"/>
    <w:qFormat/>
    <w:rsid w:val="00554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B6B"/>
    <w:pPr>
      <w:spacing w:before="160"/>
      <w:jc w:val="center"/>
    </w:pPr>
    <w:rPr>
      <w:i/>
      <w:iCs/>
      <w:color w:val="404040" w:themeColor="text1" w:themeTint="BF"/>
    </w:rPr>
  </w:style>
  <w:style w:type="character" w:customStyle="1" w:styleId="QuoteChar">
    <w:name w:val="Quote Char"/>
    <w:basedOn w:val="DefaultParagraphFont"/>
    <w:link w:val="Quote"/>
    <w:uiPriority w:val="29"/>
    <w:rsid w:val="00554B6B"/>
    <w:rPr>
      <w:i/>
      <w:iCs/>
      <w:color w:val="404040" w:themeColor="text1" w:themeTint="BF"/>
    </w:rPr>
  </w:style>
  <w:style w:type="paragraph" w:styleId="ListParagraph">
    <w:name w:val="List Paragraph"/>
    <w:basedOn w:val="Normal"/>
    <w:uiPriority w:val="34"/>
    <w:qFormat/>
    <w:rsid w:val="00554B6B"/>
    <w:pPr>
      <w:ind w:left="720"/>
      <w:contextualSpacing/>
    </w:pPr>
  </w:style>
  <w:style w:type="character" w:styleId="IntenseEmphasis">
    <w:name w:val="Intense Emphasis"/>
    <w:basedOn w:val="DefaultParagraphFont"/>
    <w:uiPriority w:val="21"/>
    <w:qFormat/>
    <w:rsid w:val="00554B6B"/>
    <w:rPr>
      <w:i/>
      <w:iCs/>
      <w:color w:val="0F4761" w:themeColor="accent1" w:themeShade="BF"/>
    </w:rPr>
  </w:style>
  <w:style w:type="paragraph" w:styleId="IntenseQuote">
    <w:name w:val="Intense Quote"/>
    <w:basedOn w:val="Normal"/>
    <w:next w:val="Normal"/>
    <w:link w:val="IntenseQuoteChar"/>
    <w:uiPriority w:val="30"/>
    <w:qFormat/>
    <w:rsid w:val="00554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B6B"/>
    <w:rPr>
      <w:i/>
      <w:iCs/>
      <w:color w:val="0F4761" w:themeColor="accent1" w:themeShade="BF"/>
    </w:rPr>
  </w:style>
  <w:style w:type="character" w:styleId="IntenseReference">
    <w:name w:val="Intense Reference"/>
    <w:basedOn w:val="DefaultParagraphFont"/>
    <w:uiPriority w:val="32"/>
    <w:qFormat/>
    <w:rsid w:val="00554B6B"/>
    <w:rPr>
      <w:b/>
      <w:bCs/>
      <w:smallCaps/>
      <w:color w:val="0F4761" w:themeColor="accent1" w:themeShade="BF"/>
      <w:spacing w:val="5"/>
    </w:rPr>
  </w:style>
  <w:style w:type="paragraph" w:customStyle="1" w:styleId="TableParagraph">
    <w:name w:val="Table Paragraph"/>
    <w:basedOn w:val="Normal"/>
    <w:uiPriority w:val="1"/>
    <w:qFormat/>
    <w:rsid w:val="00554B6B"/>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554B6B"/>
    <w:pPr>
      <w:widowControl w:val="0"/>
      <w:autoSpaceDE w:val="0"/>
      <w:autoSpaceDN w:val="0"/>
      <w:spacing w:after="0" w:line="240" w:lineRule="auto"/>
    </w:pPr>
    <w:rPr>
      <w:rFonts w:ascii="Arial" w:eastAsia="Arial" w:hAnsi="Arial" w:cs="Arial"/>
      <w:color w:val="auto"/>
      <w:sz w:val="28"/>
      <w:szCs w:val="28"/>
      <w:lang w:val="en-US" w:eastAsia="en-US"/>
    </w:rPr>
  </w:style>
  <w:style w:type="character" w:customStyle="1" w:styleId="BodyTextChar">
    <w:name w:val="Body Text Char"/>
    <w:basedOn w:val="DefaultParagraphFont"/>
    <w:link w:val="BodyText"/>
    <w:uiPriority w:val="1"/>
    <w:rsid w:val="00554B6B"/>
    <w:rPr>
      <w:rFonts w:ascii="Arial" w:eastAsia="Arial" w:hAnsi="Arial" w:cs="Arial"/>
      <w:kern w:val="0"/>
      <w:sz w:val="28"/>
      <w:szCs w:val="28"/>
      <w:lang w:val="en-US"/>
      <w14:ligatures w14:val="none"/>
    </w:rPr>
  </w:style>
  <w:style w:type="paragraph" w:styleId="Header">
    <w:name w:val="header"/>
    <w:basedOn w:val="Normal"/>
    <w:link w:val="HeaderChar"/>
    <w:uiPriority w:val="99"/>
    <w:unhideWhenUsed/>
    <w:rsid w:val="00210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686"/>
    <w:rPr>
      <w:rFonts w:ascii="Calibri" w:eastAsia="Calibri" w:hAnsi="Calibri" w:cs="Calibri"/>
      <w:color w:val="000000"/>
      <w:kern w:val="0"/>
      <w:sz w:val="22"/>
      <w:szCs w:val="22"/>
      <w:lang w:eastAsia="en-GB"/>
      <w14:ligatures w14:val="none"/>
    </w:rPr>
  </w:style>
  <w:style w:type="paragraph" w:styleId="Footer">
    <w:name w:val="footer"/>
    <w:basedOn w:val="Normal"/>
    <w:link w:val="FooterChar"/>
    <w:uiPriority w:val="99"/>
    <w:unhideWhenUsed/>
    <w:rsid w:val="00210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686"/>
    <w:rPr>
      <w:rFonts w:ascii="Calibri" w:eastAsia="Calibri" w:hAnsi="Calibri" w:cs="Calibri"/>
      <w:color w:val="000000"/>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365">
      <w:bodyDiv w:val="1"/>
      <w:marLeft w:val="0"/>
      <w:marRight w:val="0"/>
      <w:marTop w:val="0"/>
      <w:marBottom w:val="0"/>
      <w:divBdr>
        <w:top w:val="none" w:sz="0" w:space="0" w:color="auto"/>
        <w:left w:val="none" w:sz="0" w:space="0" w:color="auto"/>
        <w:bottom w:val="none" w:sz="0" w:space="0" w:color="auto"/>
        <w:right w:val="none" w:sz="0" w:space="0" w:color="auto"/>
      </w:divBdr>
    </w:div>
    <w:div w:id="12928123">
      <w:bodyDiv w:val="1"/>
      <w:marLeft w:val="0"/>
      <w:marRight w:val="0"/>
      <w:marTop w:val="0"/>
      <w:marBottom w:val="0"/>
      <w:divBdr>
        <w:top w:val="none" w:sz="0" w:space="0" w:color="auto"/>
        <w:left w:val="none" w:sz="0" w:space="0" w:color="auto"/>
        <w:bottom w:val="none" w:sz="0" w:space="0" w:color="auto"/>
        <w:right w:val="none" w:sz="0" w:space="0" w:color="auto"/>
      </w:divBdr>
    </w:div>
    <w:div w:id="215551727">
      <w:bodyDiv w:val="1"/>
      <w:marLeft w:val="0"/>
      <w:marRight w:val="0"/>
      <w:marTop w:val="0"/>
      <w:marBottom w:val="0"/>
      <w:divBdr>
        <w:top w:val="none" w:sz="0" w:space="0" w:color="auto"/>
        <w:left w:val="none" w:sz="0" w:space="0" w:color="auto"/>
        <w:bottom w:val="none" w:sz="0" w:space="0" w:color="auto"/>
        <w:right w:val="none" w:sz="0" w:space="0" w:color="auto"/>
      </w:divBdr>
    </w:div>
    <w:div w:id="258299281">
      <w:bodyDiv w:val="1"/>
      <w:marLeft w:val="0"/>
      <w:marRight w:val="0"/>
      <w:marTop w:val="0"/>
      <w:marBottom w:val="0"/>
      <w:divBdr>
        <w:top w:val="none" w:sz="0" w:space="0" w:color="auto"/>
        <w:left w:val="none" w:sz="0" w:space="0" w:color="auto"/>
        <w:bottom w:val="none" w:sz="0" w:space="0" w:color="auto"/>
        <w:right w:val="none" w:sz="0" w:space="0" w:color="auto"/>
      </w:divBdr>
    </w:div>
    <w:div w:id="356086476">
      <w:bodyDiv w:val="1"/>
      <w:marLeft w:val="0"/>
      <w:marRight w:val="0"/>
      <w:marTop w:val="0"/>
      <w:marBottom w:val="0"/>
      <w:divBdr>
        <w:top w:val="none" w:sz="0" w:space="0" w:color="auto"/>
        <w:left w:val="none" w:sz="0" w:space="0" w:color="auto"/>
        <w:bottom w:val="none" w:sz="0" w:space="0" w:color="auto"/>
        <w:right w:val="none" w:sz="0" w:space="0" w:color="auto"/>
      </w:divBdr>
    </w:div>
    <w:div w:id="450977855">
      <w:bodyDiv w:val="1"/>
      <w:marLeft w:val="0"/>
      <w:marRight w:val="0"/>
      <w:marTop w:val="0"/>
      <w:marBottom w:val="0"/>
      <w:divBdr>
        <w:top w:val="none" w:sz="0" w:space="0" w:color="auto"/>
        <w:left w:val="none" w:sz="0" w:space="0" w:color="auto"/>
        <w:bottom w:val="none" w:sz="0" w:space="0" w:color="auto"/>
        <w:right w:val="none" w:sz="0" w:space="0" w:color="auto"/>
      </w:divBdr>
    </w:div>
    <w:div w:id="543518206">
      <w:bodyDiv w:val="1"/>
      <w:marLeft w:val="0"/>
      <w:marRight w:val="0"/>
      <w:marTop w:val="0"/>
      <w:marBottom w:val="0"/>
      <w:divBdr>
        <w:top w:val="none" w:sz="0" w:space="0" w:color="auto"/>
        <w:left w:val="none" w:sz="0" w:space="0" w:color="auto"/>
        <w:bottom w:val="none" w:sz="0" w:space="0" w:color="auto"/>
        <w:right w:val="none" w:sz="0" w:space="0" w:color="auto"/>
      </w:divBdr>
    </w:div>
    <w:div w:id="625547296">
      <w:bodyDiv w:val="1"/>
      <w:marLeft w:val="0"/>
      <w:marRight w:val="0"/>
      <w:marTop w:val="0"/>
      <w:marBottom w:val="0"/>
      <w:divBdr>
        <w:top w:val="none" w:sz="0" w:space="0" w:color="auto"/>
        <w:left w:val="none" w:sz="0" w:space="0" w:color="auto"/>
        <w:bottom w:val="none" w:sz="0" w:space="0" w:color="auto"/>
        <w:right w:val="none" w:sz="0" w:space="0" w:color="auto"/>
      </w:divBdr>
    </w:div>
    <w:div w:id="699548351">
      <w:bodyDiv w:val="1"/>
      <w:marLeft w:val="0"/>
      <w:marRight w:val="0"/>
      <w:marTop w:val="0"/>
      <w:marBottom w:val="0"/>
      <w:divBdr>
        <w:top w:val="none" w:sz="0" w:space="0" w:color="auto"/>
        <w:left w:val="none" w:sz="0" w:space="0" w:color="auto"/>
        <w:bottom w:val="none" w:sz="0" w:space="0" w:color="auto"/>
        <w:right w:val="none" w:sz="0" w:space="0" w:color="auto"/>
      </w:divBdr>
    </w:div>
    <w:div w:id="1208448312">
      <w:bodyDiv w:val="1"/>
      <w:marLeft w:val="0"/>
      <w:marRight w:val="0"/>
      <w:marTop w:val="0"/>
      <w:marBottom w:val="0"/>
      <w:divBdr>
        <w:top w:val="none" w:sz="0" w:space="0" w:color="auto"/>
        <w:left w:val="none" w:sz="0" w:space="0" w:color="auto"/>
        <w:bottom w:val="none" w:sz="0" w:space="0" w:color="auto"/>
        <w:right w:val="none" w:sz="0" w:space="0" w:color="auto"/>
      </w:divBdr>
    </w:div>
    <w:div w:id="1225411924">
      <w:bodyDiv w:val="1"/>
      <w:marLeft w:val="0"/>
      <w:marRight w:val="0"/>
      <w:marTop w:val="0"/>
      <w:marBottom w:val="0"/>
      <w:divBdr>
        <w:top w:val="none" w:sz="0" w:space="0" w:color="auto"/>
        <w:left w:val="none" w:sz="0" w:space="0" w:color="auto"/>
        <w:bottom w:val="none" w:sz="0" w:space="0" w:color="auto"/>
        <w:right w:val="none" w:sz="0" w:space="0" w:color="auto"/>
      </w:divBdr>
    </w:div>
    <w:div w:id="1227837741">
      <w:bodyDiv w:val="1"/>
      <w:marLeft w:val="0"/>
      <w:marRight w:val="0"/>
      <w:marTop w:val="0"/>
      <w:marBottom w:val="0"/>
      <w:divBdr>
        <w:top w:val="none" w:sz="0" w:space="0" w:color="auto"/>
        <w:left w:val="none" w:sz="0" w:space="0" w:color="auto"/>
        <w:bottom w:val="none" w:sz="0" w:space="0" w:color="auto"/>
        <w:right w:val="none" w:sz="0" w:space="0" w:color="auto"/>
      </w:divBdr>
    </w:div>
    <w:div w:id="1651980226">
      <w:bodyDiv w:val="1"/>
      <w:marLeft w:val="0"/>
      <w:marRight w:val="0"/>
      <w:marTop w:val="0"/>
      <w:marBottom w:val="0"/>
      <w:divBdr>
        <w:top w:val="none" w:sz="0" w:space="0" w:color="auto"/>
        <w:left w:val="none" w:sz="0" w:space="0" w:color="auto"/>
        <w:bottom w:val="none" w:sz="0" w:space="0" w:color="auto"/>
        <w:right w:val="none" w:sz="0" w:space="0" w:color="auto"/>
      </w:divBdr>
    </w:div>
    <w:div w:id="1687487047">
      <w:bodyDiv w:val="1"/>
      <w:marLeft w:val="0"/>
      <w:marRight w:val="0"/>
      <w:marTop w:val="0"/>
      <w:marBottom w:val="0"/>
      <w:divBdr>
        <w:top w:val="none" w:sz="0" w:space="0" w:color="auto"/>
        <w:left w:val="none" w:sz="0" w:space="0" w:color="auto"/>
        <w:bottom w:val="none" w:sz="0" w:space="0" w:color="auto"/>
        <w:right w:val="none" w:sz="0" w:space="0" w:color="auto"/>
      </w:divBdr>
    </w:div>
    <w:div w:id="1780679907">
      <w:bodyDiv w:val="1"/>
      <w:marLeft w:val="0"/>
      <w:marRight w:val="0"/>
      <w:marTop w:val="0"/>
      <w:marBottom w:val="0"/>
      <w:divBdr>
        <w:top w:val="none" w:sz="0" w:space="0" w:color="auto"/>
        <w:left w:val="none" w:sz="0" w:space="0" w:color="auto"/>
        <w:bottom w:val="none" w:sz="0" w:space="0" w:color="auto"/>
        <w:right w:val="none" w:sz="0" w:space="0" w:color="auto"/>
      </w:divBdr>
    </w:div>
    <w:div w:id="1882665164">
      <w:bodyDiv w:val="1"/>
      <w:marLeft w:val="0"/>
      <w:marRight w:val="0"/>
      <w:marTop w:val="0"/>
      <w:marBottom w:val="0"/>
      <w:divBdr>
        <w:top w:val="none" w:sz="0" w:space="0" w:color="auto"/>
        <w:left w:val="none" w:sz="0" w:space="0" w:color="auto"/>
        <w:bottom w:val="none" w:sz="0" w:space="0" w:color="auto"/>
        <w:right w:val="none" w:sz="0" w:space="0" w:color="auto"/>
      </w:divBdr>
    </w:div>
    <w:div w:id="1905986014">
      <w:bodyDiv w:val="1"/>
      <w:marLeft w:val="0"/>
      <w:marRight w:val="0"/>
      <w:marTop w:val="0"/>
      <w:marBottom w:val="0"/>
      <w:divBdr>
        <w:top w:val="none" w:sz="0" w:space="0" w:color="auto"/>
        <w:left w:val="none" w:sz="0" w:space="0" w:color="auto"/>
        <w:bottom w:val="none" w:sz="0" w:space="0" w:color="auto"/>
        <w:right w:val="none" w:sz="0" w:space="0" w:color="auto"/>
      </w:divBdr>
    </w:div>
    <w:div w:id="20684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FF406-9801-4E35-970A-DCFFB876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63BC-3318-4260-A8E1-3ABC73B52586}">
  <ds:schemaRefs>
    <ds:schemaRef ds:uri="http://schemas.microsoft.com/sharepoint/v3/contenttype/forms"/>
  </ds:schemaRefs>
</ds:datastoreItem>
</file>

<file path=customXml/itemProps3.xml><?xml version="1.0" encoding="utf-8"?>
<ds:datastoreItem xmlns:ds="http://schemas.openxmlformats.org/officeDocument/2006/customXml" ds:itemID="{98D68135-BD1D-42FC-BF43-9B0129CC8B23}">
  <ds:schemaRefs>
    <ds:schemaRef ds:uri="http://schemas.microsoft.com/office/2006/metadata/properties"/>
    <ds:schemaRef ds:uri="http://schemas.microsoft.com/office/infopath/2007/PartnerControls"/>
    <ds:schemaRef ds:uri="35733c71-d1b6-4a86-8924-72355f3f55dc"/>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270</cp:revision>
  <dcterms:created xsi:type="dcterms:W3CDTF">2025-06-03T09:16:00Z</dcterms:created>
  <dcterms:modified xsi:type="dcterms:W3CDTF">2025-06-05T15:59:00Z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