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61F" w14:textId="77777777" w:rsidR="00D209BB" w:rsidRDefault="00D209BB" w:rsidP="00D209BB">
      <w:pPr>
        <w:pStyle w:val="Heading1"/>
        <w:spacing w:before="130"/>
        <w:ind w:left="0"/>
      </w:pPr>
      <w:r>
        <w:rPr>
          <w:noProof/>
          <w:lang w:val="en-GB" w:eastAsia="en-GB"/>
        </w:rPr>
        <w:drawing>
          <wp:anchor distT="0" distB="0" distL="0" distR="0" simplePos="0" relativeHeight="251659264" behindDoc="0" locked="0" layoutInCell="1" allowOverlap="1" wp14:anchorId="6F6F1E6A" wp14:editId="14EEAC51">
            <wp:simplePos x="0" y="0"/>
            <wp:positionH relativeFrom="page">
              <wp:posOffset>6218084</wp:posOffset>
            </wp:positionH>
            <wp:positionV relativeFrom="paragraph">
              <wp:posOffset>-5064</wp:posOffset>
            </wp:positionV>
            <wp:extent cx="751439" cy="863130"/>
            <wp:effectExtent l="0" t="0" r="0" b="0"/>
            <wp:wrapNone/>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1439" cy="863130"/>
                    </a:xfrm>
                    <a:prstGeom prst="rect">
                      <a:avLst/>
                    </a:prstGeom>
                  </pic:spPr>
                </pic:pic>
              </a:graphicData>
            </a:graphic>
          </wp:anchor>
        </w:drawing>
      </w:r>
      <w:r>
        <w:t>BOARD OF MANAGEMENT</w:t>
      </w:r>
    </w:p>
    <w:p w14:paraId="21DD9E6B" w14:textId="77777777" w:rsidR="00D209BB" w:rsidRDefault="00D209BB" w:rsidP="00D209BB">
      <w:pPr>
        <w:spacing w:before="1"/>
        <w:rPr>
          <w:b/>
          <w:sz w:val="32"/>
        </w:rPr>
      </w:pPr>
    </w:p>
    <w:p w14:paraId="4E132977" w14:textId="77777777" w:rsidR="00D209BB" w:rsidRDefault="00D209BB" w:rsidP="00D209BB">
      <w:pPr>
        <w:rPr>
          <w:b/>
          <w:sz w:val="32"/>
        </w:rPr>
      </w:pPr>
      <w:r>
        <w:rPr>
          <w:b/>
          <w:sz w:val="32"/>
        </w:rPr>
        <w:t>Human Resources and Development Committee</w:t>
      </w:r>
    </w:p>
    <w:p w14:paraId="502A95B8" w14:textId="77777777" w:rsidR="00D209BB" w:rsidRDefault="00D209BB" w:rsidP="00D209BB">
      <w:pPr>
        <w:spacing w:before="2"/>
        <w:rPr>
          <w:b/>
          <w:sz w:val="32"/>
        </w:rPr>
      </w:pPr>
    </w:p>
    <w:p w14:paraId="0CBE855F" w14:textId="77777777" w:rsidR="00D209BB" w:rsidRPr="00D469BE" w:rsidRDefault="00D209BB" w:rsidP="00D209BB">
      <w:pPr>
        <w:pStyle w:val="BodyText"/>
        <w:ind w:right="2835"/>
      </w:pPr>
      <w:r w:rsidRPr="00D469BE">
        <w:rPr>
          <w:noProof/>
        </w:rPr>
        <mc:AlternateContent>
          <mc:Choice Requires="wps">
            <w:drawing>
              <wp:anchor distT="0" distB="0" distL="114300" distR="114300" simplePos="0" relativeHeight="251660288" behindDoc="1" locked="0" layoutInCell="1" allowOverlap="1" wp14:anchorId="235550CE" wp14:editId="1B09BD37">
                <wp:simplePos x="0" y="0"/>
                <wp:positionH relativeFrom="page">
                  <wp:posOffset>622300</wp:posOffset>
                </wp:positionH>
                <wp:positionV relativeFrom="paragraph">
                  <wp:posOffset>618490</wp:posOffset>
                </wp:positionV>
                <wp:extent cx="64242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FC6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pt,48.7pt" to="554.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" strokeweight="1.5pt">
                <w10:wrap anchorx="page"/>
              </v:line>
            </w:pict>
          </mc:Fallback>
        </mc:AlternateContent>
      </w:r>
      <w:r w:rsidRPr="00D469BE">
        <w:t xml:space="preserve">Thursday </w:t>
      </w:r>
      <w:r>
        <w:t>15 February 2024</w:t>
      </w:r>
      <w:r w:rsidRPr="00D469BE">
        <w:t xml:space="preserve"> at 5.00pm </w:t>
      </w:r>
      <w:r w:rsidRPr="00D469BE">
        <w:rPr>
          <w:b/>
          <w:bCs/>
          <w:u w:val="single"/>
        </w:rPr>
        <w:t xml:space="preserve">Room A625, Kingsway Campus </w:t>
      </w:r>
      <w:r w:rsidRPr="00D469BE">
        <w:t>(MS Teams option available)</w:t>
      </w:r>
    </w:p>
    <w:p w14:paraId="040F329B" w14:textId="77777777" w:rsidR="00D209BB" w:rsidRDefault="00D209BB" w:rsidP="00D209BB">
      <w:pPr>
        <w:rPr>
          <w:sz w:val="30"/>
        </w:rPr>
      </w:pPr>
    </w:p>
    <w:p w14:paraId="56151469" w14:textId="77777777" w:rsidR="00D209BB" w:rsidRDefault="00D209BB" w:rsidP="00D209BB">
      <w:pPr>
        <w:rPr>
          <w:sz w:val="30"/>
        </w:rPr>
      </w:pPr>
    </w:p>
    <w:p w14:paraId="2F432E47" w14:textId="460D72B3" w:rsidR="00D209BB" w:rsidRPr="00295191" w:rsidRDefault="00D209BB" w:rsidP="00D209BB">
      <w:pPr>
        <w:pStyle w:val="Heading2"/>
        <w:spacing w:before="84"/>
        <w:rPr>
          <w:rFonts w:ascii="Arial" w:hAnsi="Arial" w:cs="Arial"/>
          <w:color w:val="auto"/>
          <w:sz w:val="22"/>
          <w:szCs w:val="22"/>
          <w:lang w:val="en-GB"/>
        </w:rPr>
      </w:pPr>
      <w:r w:rsidRPr="00295191">
        <w:rPr>
          <w:rFonts w:ascii="Arial" w:hAnsi="Arial" w:cs="Arial"/>
          <w:color w:val="auto"/>
          <w:sz w:val="22"/>
          <w:szCs w:val="22"/>
          <w:lang w:val="en-GB"/>
        </w:rPr>
        <w:t xml:space="preserve">Minute of the Human Resources and Development Committee meeting held on Thursday </w:t>
      </w:r>
      <w:r w:rsidR="006B2B88">
        <w:rPr>
          <w:rFonts w:ascii="Arial" w:hAnsi="Arial" w:cs="Arial"/>
          <w:color w:val="auto"/>
          <w:sz w:val="22"/>
          <w:szCs w:val="22"/>
          <w:lang w:val="en-GB"/>
        </w:rPr>
        <w:t>15</w:t>
      </w:r>
      <w:r w:rsidRPr="00295191">
        <w:rPr>
          <w:rFonts w:ascii="Arial" w:hAnsi="Arial" w:cs="Arial"/>
          <w:color w:val="auto"/>
          <w:sz w:val="22"/>
          <w:szCs w:val="22"/>
          <w:lang w:val="en-GB"/>
        </w:rPr>
        <w:t xml:space="preserve"> </w:t>
      </w:r>
      <w:r w:rsidR="00647B4C">
        <w:rPr>
          <w:rFonts w:ascii="Arial" w:hAnsi="Arial" w:cs="Arial"/>
          <w:color w:val="auto"/>
          <w:sz w:val="22"/>
          <w:szCs w:val="22"/>
          <w:lang w:val="en-GB"/>
        </w:rPr>
        <w:t>February</w:t>
      </w:r>
      <w:r w:rsidR="006B2B88">
        <w:rPr>
          <w:rFonts w:ascii="Arial" w:hAnsi="Arial" w:cs="Arial"/>
          <w:color w:val="auto"/>
          <w:sz w:val="22"/>
          <w:szCs w:val="22"/>
          <w:lang w:val="en-GB"/>
        </w:rPr>
        <w:t xml:space="preserve"> 2024 </w:t>
      </w:r>
      <w:r w:rsidRPr="00295191">
        <w:rPr>
          <w:rFonts w:ascii="Arial" w:hAnsi="Arial" w:cs="Arial"/>
          <w:color w:val="auto"/>
          <w:sz w:val="22"/>
          <w:szCs w:val="22"/>
          <w:lang w:val="en-GB"/>
        </w:rPr>
        <w:t xml:space="preserve">at 5.00pm, in Room A625, Kingsway Campus. </w:t>
      </w:r>
    </w:p>
    <w:p w14:paraId="3F532911" w14:textId="77777777" w:rsidR="00D209BB" w:rsidRPr="00D43501" w:rsidRDefault="00D209BB" w:rsidP="00D209BB">
      <w:pPr>
        <w:pStyle w:val="BodyText"/>
        <w:rPr>
          <w:b/>
          <w:sz w:val="20"/>
          <w:lang w:val="en-GB"/>
        </w:rPr>
      </w:pPr>
    </w:p>
    <w:tbl>
      <w:tblPr>
        <w:tblW w:w="9923" w:type="dxa"/>
        <w:tblLayout w:type="fixed"/>
        <w:tblCellMar>
          <w:left w:w="0" w:type="dxa"/>
          <w:right w:w="0" w:type="dxa"/>
        </w:tblCellMar>
        <w:tblLook w:val="01E0" w:firstRow="1" w:lastRow="1" w:firstColumn="1" w:lastColumn="1" w:noHBand="0" w:noVBand="0"/>
      </w:tblPr>
      <w:tblGrid>
        <w:gridCol w:w="1985"/>
        <w:gridCol w:w="3402"/>
        <w:gridCol w:w="4536"/>
      </w:tblGrid>
      <w:tr w:rsidR="00D209BB" w:rsidRPr="00D43501" w14:paraId="1BB10501" w14:textId="77777777" w:rsidTr="00781ACC">
        <w:trPr>
          <w:trHeight w:val="113"/>
        </w:trPr>
        <w:tc>
          <w:tcPr>
            <w:tcW w:w="1985" w:type="dxa"/>
          </w:tcPr>
          <w:p w14:paraId="745B51C1" w14:textId="77777777" w:rsidR="00D209BB" w:rsidRPr="00D43501" w:rsidRDefault="00D209BB" w:rsidP="001E3F92">
            <w:pPr>
              <w:pStyle w:val="TableParagraph"/>
              <w:spacing w:after="40" w:line="233" w:lineRule="exact"/>
              <w:rPr>
                <w:b/>
                <w:lang w:val="en-GB"/>
              </w:rPr>
            </w:pPr>
            <w:r w:rsidRPr="00D43501">
              <w:rPr>
                <w:b/>
                <w:lang w:val="en-GB"/>
              </w:rPr>
              <w:t>PRESENT:</w:t>
            </w:r>
          </w:p>
        </w:tc>
        <w:tc>
          <w:tcPr>
            <w:tcW w:w="3402" w:type="dxa"/>
          </w:tcPr>
          <w:p w14:paraId="6E5C5E7C" w14:textId="7185DA6D" w:rsidR="00D209BB" w:rsidRPr="00C42DD2" w:rsidRDefault="00C30CE4" w:rsidP="001E3F92">
            <w:pPr>
              <w:pStyle w:val="TableParagraph"/>
              <w:spacing w:after="40" w:line="233" w:lineRule="exact"/>
              <w:rPr>
                <w:color w:val="000000" w:themeColor="text1"/>
                <w:lang w:val="en-GB"/>
              </w:rPr>
            </w:pPr>
            <w:r>
              <w:rPr>
                <w:color w:val="000000" w:themeColor="text1"/>
                <w:lang w:val="en-GB"/>
              </w:rPr>
              <w:t>D Mackenzie</w:t>
            </w:r>
          </w:p>
        </w:tc>
        <w:tc>
          <w:tcPr>
            <w:tcW w:w="4536" w:type="dxa"/>
          </w:tcPr>
          <w:p w14:paraId="68A1A12C" w14:textId="77777777" w:rsidR="00D209BB" w:rsidRPr="003663EF" w:rsidRDefault="00D209BB" w:rsidP="001E3F92">
            <w:pPr>
              <w:pStyle w:val="TableParagraph"/>
              <w:spacing w:after="40"/>
              <w:jc w:val="both"/>
              <w:rPr>
                <w:color w:val="FF0000"/>
                <w:lang w:val="en-GB"/>
              </w:rPr>
            </w:pPr>
            <w:r w:rsidRPr="00C42DD2">
              <w:rPr>
                <w:color w:val="000000" w:themeColor="text1"/>
                <w:lang w:val="en-GB"/>
              </w:rPr>
              <w:t>D Smith</w:t>
            </w:r>
          </w:p>
        </w:tc>
      </w:tr>
      <w:tr w:rsidR="00D209BB" w:rsidRPr="00D43501" w14:paraId="21BA130E" w14:textId="77777777" w:rsidTr="00781ACC">
        <w:trPr>
          <w:trHeight w:val="113"/>
        </w:trPr>
        <w:tc>
          <w:tcPr>
            <w:tcW w:w="1985" w:type="dxa"/>
          </w:tcPr>
          <w:p w14:paraId="7119C00B" w14:textId="77777777" w:rsidR="00D209BB" w:rsidRPr="00D43501" w:rsidRDefault="00D209BB" w:rsidP="001E3F92">
            <w:pPr>
              <w:pStyle w:val="TableParagraph"/>
              <w:spacing w:after="40"/>
              <w:rPr>
                <w:rFonts w:ascii="Times New Roman"/>
                <w:sz w:val="18"/>
                <w:lang w:val="en-GB"/>
              </w:rPr>
            </w:pPr>
          </w:p>
        </w:tc>
        <w:tc>
          <w:tcPr>
            <w:tcW w:w="3402" w:type="dxa"/>
          </w:tcPr>
          <w:p w14:paraId="03E9472F" w14:textId="77777777" w:rsidR="00D209BB" w:rsidRPr="003663EF" w:rsidRDefault="00D209BB" w:rsidP="001E3F92">
            <w:pPr>
              <w:pStyle w:val="TableParagraph"/>
              <w:spacing w:after="40" w:line="233" w:lineRule="exact"/>
              <w:rPr>
                <w:color w:val="FF0000"/>
                <w:lang w:val="en-GB"/>
              </w:rPr>
            </w:pPr>
            <w:r w:rsidRPr="001A0843">
              <w:rPr>
                <w:color w:val="000000" w:themeColor="text1"/>
                <w:lang w:val="en-GB"/>
              </w:rPr>
              <w:t>B Lawrie</w:t>
            </w:r>
          </w:p>
        </w:tc>
        <w:tc>
          <w:tcPr>
            <w:tcW w:w="4536" w:type="dxa"/>
          </w:tcPr>
          <w:p w14:paraId="275C79D1" w14:textId="77777777" w:rsidR="00D209BB" w:rsidRPr="003663EF" w:rsidRDefault="00D209BB" w:rsidP="001E3F92">
            <w:pPr>
              <w:pStyle w:val="TableParagraph"/>
              <w:spacing w:after="40"/>
              <w:jc w:val="both"/>
              <w:rPr>
                <w:color w:val="FF0000"/>
                <w:lang w:val="en-GB"/>
              </w:rPr>
            </w:pPr>
            <w:r w:rsidRPr="007F17BF">
              <w:rPr>
                <w:color w:val="000000" w:themeColor="text1"/>
                <w:lang w:val="en-GB"/>
              </w:rPr>
              <w:t>S Hewitt</w:t>
            </w:r>
          </w:p>
        </w:tc>
      </w:tr>
      <w:tr w:rsidR="00D209BB" w:rsidRPr="00D43501" w14:paraId="2A03B5EE" w14:textId="77777777" w:rsidTr="00781ACC">
        <w:trPr>
          <w:trHeight w:val="113"/>
        </w:trPr>
        <w:tc>
          <w:tcPr>
            <w:tcW w:w="1985" w:type="dxa"/>
          </w:tcPr>
          <w:p w14:paraId="7A79C88A" w14:textId="77777777" w:rsidR="00D209BB" w:rsidRPr="00D43501" w:rsidRDefault="00D209BB" w:rsidP="001E3F92">
            <w:pPr>
              <w:pStyle w:val="TableParagraph"/>
              <w:spacing w:after="40"/>
              <w:rPr>
                <w:rFonts w:ascii="Times New Roman"/>
                <w:sz w:val="18"/>
                <w:lang w:val="en-GB"/>
              </w:rPr>
            </w:pPr>
          </w:p>
        </w:tc>
        <w:tc>
          <w:tcPr>
            <w:tcW w:w="3402" w:type="dxa"/>
          </w:tcPr>
          <w:p w14:paraId="2D0F48C6" w14:textId="69FA6960" w:rsidR="00D209BB" w:rsidRPr="00A8343E" w:rsidRDefault="00C81E70" w:rsidP="001E3F92">
            <w:pPr>
              <w:pStyle w:val="TableParagraph"/>
              <w:spacing w:after="40" w:line="233" w:lineRule="exact"/>
              <w:rPr>
                <w:color w:val="000000" w:themeColor="text1"/>
                <w:lang w:val="en-GB"/>
              </w:rPr>
            </w:pPr>
            <w:r w:rsidRPr="00A8343E">
              <w:rPr>
                <w:color w:val="000000" w:themeColor="text1"/>
                <w:lang w:val="en-GB"/>
              </w:rPr>
              <w:t>D</w:t>
            </w:r>
            <w:r w:rsidR="00C30CE4">
              <w:rPr>
                <w:color w:val="000000" w:themeColor="text1"/>
                <w:lang w:val="en-GB"/>
              </w:rPr>
              <w:t xml:space="preserve"> Rosie</w:t>
            </w:r>
            <w:r w:rsidR="00D209BB" w:rsidRPr="00A8343E">
              <w:rPr>
                <w:color w:val="000000" w:themeColor="text1"/>
                <w:lang w:val="en-GB"/>
              </w:rPr>
              <w:t xml:space="preserve">          </w:t>
            </w:r>
          </w:p>
        </w:tc>
        <w:tc>
          <w:tcPr>
            <w:tcW w:w="4536" w:type="dxa"/>
          </w:tcPr>
          <w:p w14:paraId="3E67AA79" w14:textId="77777777" w:rsidR="00D209BB" w:rsidRPr="003663EF" w:rsidRDefault="00D209BB" w:rsidP="001E3F92">
            <w:pPr>
              <w:pStyle w:val="TableParagraph"/>
              <w:spacing w:after="40"/>
              <w:jc w:val="both"/>
              <w:rPr>
                <w:color w:val="FF0000"/>
                <w:lang w:val="en-GB"/>
              </w:rPr>
            </w:pPr>
            <w:r w:rsidRPr="003663EF">
              <w:rPr>
                <w:color w:val="000000" w:themeColor="text1"/>
                <w:lang w:val="en-GB"/>
              </w:rPr>
              <w:t>M Beattie</w:t>
            </w:r>
          </w:p>
        </w:tc>
      </w:tr>
      <w:tr w:rsidR="00D209BB" w:rsidRPr="00D43501" w14:paraId="76470092" w14:textId="77777777" w:rsidTr="00781ACC">
        <w:trPr>
          <w:trHeight w:val="113"/>
        </w:trPr>
        <w:tc>
          <w:tcPr>
            <w:tcW w:w="1985" w:type="dxa"/>
          </w:tcPr>
          <w:p w14:paraId="6B673A5C" w14:textId="77777777" w:rsidR="00D209BB" w:rsidRPr="00D43501" w:rsidRDefault="00D209BB" w:rsidP="001E3F92">
            <w:pPr>
              <w:pStyle w:val="TableParagraph"/>
              <w:spacing w:after="40"/>
              <w:rPr>
                <w:rFonts w:ascii="Times New Roman"/>
                <w:sz w:val="18"/>
                <w:lang w:val="en-GB"/>
              </w:rPr>
            </w:pPr>
          </w:p>
        </w:tc>
        <w:tc>
          <w:tcPr>
            <w:tcW w:w="3402" w:type="dxa"/>
          </w:tcPr>
          <w:p w14:paraId="7236BF86" w14:textId="4E187C03" w:rsidR="00AE4C3E" w:rsidRPr="003663EF" w:rsidRDefault="00D209BB" w:rsidP="001E3F92">
            <w:pPr>
              <w:pStyle w:val="TableParagraph"/>
              <w:spacing w:after="40" w:line="229" w:lineRule="exact"/>
              <w:rPr>
                <w:color w:val="FF0000"/>
                <w:lang w:val="en-GB"/>
              </w:rPr>
            </w:pPr>
            <w:r w:rsidRPr="008A31F1">
              <w:rPr>
                <w:color w:val="000000" w:themeColor="text1"/>
                <w:lang w:val="en-GB"/>
              </w:rPr>
              <w:t>C Cusick</w:t>
            </w:r>
          </w:p>
        </w:tc>
        <w:tc>
          <w:tcPr>
            <w:tcW w:w="4536" w:type="dxa"/>
          </w:tcPr>
          <w:p w14:paraId="395E6B4B" w14:textId="6C4D89CD" w:rsidR="00AE4C3E" w:rsidRPr="003663EF" w:rsidRDefault="00C30CE4" w:rsidP="001E3F92">
            <w:pPr>
              <w:pStyle w:val="TableParagraph"/>
              <w:tabs>
                <w:tab w:val="right" w:pos="2315"/>
              </w:tabs>
              <w:spacing w:after="40"/>
              <w:rPr>
                <w:color w:val="FF0000"/>
                <w:lang w:val="en-GB"/>
              </w:rPr>
            </w:pPr>
            <w:r w:rsidRPr="00C30CE4">
              <w:rPr>
                <w:lang w:val="en-GB"/>
              </w:rPr>
              <w:t>L O’Donnell</w:t>
            </w:r>
            <w:r>
              <w:rPr>
                <w:lang w:val="en-GB"/>
              </w:rPr>
              <w:t xml:space="preserve"> (observer)</w:t>
            </w:r>
          </w:p>
        </w:tc>
      </w:tr>
    </w:tbl>
    <w:p w14:paraId="1CEDE990" w14:textId="77777777" w:rsidR="00D209BB" w:rsidRPr="00D43501" w:rsidRDefault="00D209BB" w:rsidP="00D209BB">
      <w:pPr>
        <w:pStyle w:val="BodyText"/>
        <w:rPr>
          <w:b/>
          <w:sz w:val="24"/>
          <w:lang w:val="en-GB"/>
        </w:rPr>
      </w:pPr>
    </w:p>
    <w:tbl>
      <w:tblPr>
        <w:tblW w:w="9923" w:type="dxa"/>
        <w:tblLayout w:type="fixed"/>
        <w:tblCellMar>
          <w:left w:w="0" w:type="dxa"/>
          <w:right w:w="0" w:type="dxa"/>
        </w:tblCellMar>
        <w:tblLook w:val="01E0" w:firstRow="1" w:lastRow="1" w:firstColumn="1" w:lastColumn="1" w:noHBand="0" w:noVBand="0"/>
      </w:tblPr>
      <w:tblGrid>
        <w:gridCol w:w="1985"/>
        <w:gridCol w:w="3402"/>
        <w:gridCol w:w="4536"/>
      </w:tblGrid>
      <w:tr w:rsidR="001E3F92" w:rsidRPr="00D43501" w14:paraId="7B488889" w14:textId="77777777" w:rsidTr="00781ACC">
        <w:trPr>
          <w:trHeight w:val="185"/>
        </w:trPr>
        <w:tc>
          <w:tcPr>
            <w:tcW w:w="1985" w:type="dxa"/>
          </w:tcPr>
          <w:p w14:paraId="6E25EAFD" w14:textId="77777777" w:rsidR="001E3F92" w:rsidRPr="00D43501" w:rsidRDefault="001E3F92" w:rsidP="008074B4">
            <w:pPr>
              <w:pStyle w:val="TableParagraph"/>
              <w:spacing w:after="60" w:line="233" w:lineRule="exact"/>
              <w:rPr>
                <w:b/>
                <w:lang w:val="en-GB"/>
              </w:rPr>
            </w:pPr>
            <w:r w:rsidRPr="00D43501">
              <w:rPr>
                <w:b/>
                <w:lang w:val="en-GB"/>
              </w:rPr>
              <w:t>IN ATTENDANCE:</w:t>
            </w:r>
          </w:p>
        </w:tc>
        <w:tc>
          <w:tcPr>
            <w:tcW w:w="7938" w:type="dxa"/>
            <w:gridSpan w:val="2"/>
          </w:tcPr>
          <w:p w14:paraId="7144E66B" w14:textId="629AFA7A" w:rsidR="001E3F92" w:rsidRPr="00D43501" w:rsidRDefault="001E3F92" w:rsidP="008074B4">
            <w:pPr>
              <w:pStyle w:val="TableParagraph"/>
              <w:spacing w:after="60" w:line="233" w:lineRule="exact"/>
              <w:rPr>
                <w:lang w:val="en-GB"/>
              </w:rPr>
            </w:pPr>
            <w:r w:rsidRPr="008A31F1">
              <w:rPr>
                <w:color w:val="000000" w:themeColor="text1"/>
                <w:lang w:val="en-GB"/>
              </w:rPr>
              <w:t>S Taylor (</w:t>
            </w:r>
            <w:r w:rsidRPr="008A31F1">
              <w:rPr>
                <w:color w:val="000000" w:themeColor="text1"/>
              </w:rPr>
              <w:t xml:space="preserve">Vice Principal </w:t>
            </w:r>
            <w:r>
              <w:rPr>
                <w:color w:val="000000" w:themeColor="text1"/>
              </w:rPr>
              <w:t>Support Services and Operations</w:t>
            </w:r>
            <w:r w:rsidRPr="008A31F1">
              <w:rPr>
                <w:color w:val="000000" w:themeColor="text1"/>
              </w:rPr>
              <w:t>)</w:t>
            </w:r>
          </w:p>
        </w:tc>
      </w:tr>
      <w:tr w:rsidR="001E3F92" w:rsidRPr="00D43501" w14:paraId="1848B194" w14:textId="77777777" w:rsidTr="00781ACC">
        <w:trPr>
          <w:trHeight w:val="250"/>
        </w:trPr>
        <w:tc>
          <w:tcPr>
            <w:tcW w:w="1985" w:type="dxa"/>
          </w:tcPr>
          <w:p w14:paraId="0A39B2BB" w14:textId="77777777" w:rsidR="001E3F92" w:rsidRPr="00D43501" w:rsidRDefault="001E3F92" w:rsidP="008074B4">
            <w:pPr>
              <w:pStyle w:val="TableParagraph"/>
              <w:spacing w:after="60"/>
              <w:rPr>
                <w:rFonts w:ascii="Times New Roman"/>
                <w:sz w:val="18"/>
                <w:lang w:val="en-GB"/>
              </w:rPr>
            </w:pPr>
          </w:p>
        </w:tc>
        <w:tc>
          <w:tcPr>
            <w:tcW w:w="7938" w:type="dxa"/>
            <w:gridSpan w:val="2"/>
          </w:tcPr>
          <w:p w14:paraId="703765C9" w14:textId="6E85418F" w:rsidR="001E3F92" w:rsidRDefault="001E3F92" w:rsidP="008074B4">
            <w:pPr>
              <w:pStyle w:val="TableParagraph"/>
              <w:spacing w:after="60" w:line="233" w:lineRule="exact"/>
              <w:rPr>
                <w:color w:val="000000" w:themeColor="text1"/>
                <w:lang w:val="en-GB"/>
              </w:rPr>
            </w:pPr>
            <w:r w:rsidRPr="008A31F1">
              <w:rPr>
                <w:color w:val="000000" w:themeColor="text1"/>
                <w:lang w:val="en-GB"/>
              </w:rPr>
              <w:t xml:space="preserve">J Grace (Vice Principal Curriculum </w:t>
            </w:r>
            <w:r>
              <w:rPr>
                <w:color w:val="000000" w:themeColor="text1"/>
                <w:lang w:val="en-GB"/>
              </w:rPr>
              <w:t>and Partnership</w:t>
            </w:r>
            <w:r w:rsidRPr="00CE7495">
              <w:rPr>
                <w:lang w:val="en-GB"/>
              </w:rPr>
              <w:t>s)</w:t>
            </w:r>
          </w:p>
        </w:tc>
      </w:tr>
      <w:tr w:rsidR="00D209BB" w:rsidRPr="00D43501" w14:paraId="7CDA3950" w14:textId="77777777" w:rsidTr="00781ACC">
        <w:trPr>
          <w:trHeight w:val="250"/>
        </w:trPr>
        <w:tc>
          <w:tcPr>
            <w:tcW w:w="1985" w:type="dxa"/>
          </w:tcPr>
          <w:p w14:paraId="28AADEBD" w14:textId="77777777" w:rsidR="00D209BB" w:rsidRPr="00D43501" w:rsidRDefault="00D209BB" w:rsidP="008074B4">
            <w:pPr>
              <w:pStyle w:val="TableParagraph"/>
              <w:spacing w:after="60"/>
              <w:rPr>
                <w:rFonts w:ascii="Times New Roman"/>
                <w:sz w:val="18"/>
                <w:lang w:val="en-GB"/>
              </w:rPr>
            </w:pPr>
          </w:p>
        </w:tc>
        <w:tc>
          <w:tcPr>
            <w:tcW w:w="3402" w:type="dxa"/>
          </w:tcPr>
          <w:p w14:paraId="3E2FD2F3" w14:textId="14B492EA" w:rsidR="00A8343E" w:rsidRPr="00A8343E" w:rsidRDefault="006B4771" w:rsidP="008074B4">
            <w:pPr>
              <w:pStyle w:val="TableParagraph"/>
              <w:spacing w:after="60" w:line="231" w:lineRule="exact"/>
              <w:rPr>
                <w:color w:val="000000" w:themeColor="text1"/>
                <w:lang w:val="en-GB"/>
              </w:rPr>
            </w:pPr>
            <w:r w:rsidRPr="00A8343E">
              <w:rPr>
                <w:color w:val="000000" w:themeColor="text1"/>
                <w:lang w:val="en-GB"/>
              </w:rPr>
              <w:t>K Buchan (HR Manager)</w:t>
            </w:r>
            <w:r w:rsidR="00D209BB" w:rsidRPr="00A8343E">
              <w:rPr>
                <w:color w:val="000000" w:themeColor="text1"/>
                <w:lang w:val="en-GB"/>
              </w:rPr>
              <w:t xml:space="preserve"> </w:t>
            </w:r>
          </w:p>
        </w:tc>
        <w:tc>
          <w:tcPr>
            <w:tcW w:w="4536" w:type="dxa"/>
          </w:tcPr>
          <w:p w14:paraId="1AEFCEB8" w14:textId="0F4D74E3" w:rsidR="00D209BB" w:rsidRPr="00D43501" w:rsidRDefault="001E3F92" w:rsidP="008074B4">
            <w:pPr>
              <w:pStyle w:val="TableParagraph"/>
              <w:spacing w:after="60" w:line="233" w:lineRule="exact"/>
              <w:rPr>
                <w:lang w:val="en-GB"/>
              </w:rPr>
            </w:pPr>
            <w:r>
              <w:rPr>
                <w:color w:val="000000" w:themeColor="text1"/>
                <w:lang w:val="en-GB"/>
              </w:rPr>
              <w:t>P Muir (Board Administrator)</w:t>
            </w:r>
          </w:p>
        </w:tc>
      </w:tr>
      <w:tr w:rsidR="001E3F92" w:rsidRPr="00D43501" w14:paraId="26766956" w14:textId="77777777" w:rsidTr="00781ACC">
        <w:trPr>
          <w:trHeight w:val="250"/>
        </w:trPr>
        <w:tc>
          <w:tcPr>
            <w:tcW w:w="1985" w:type="dxa"/>
          </w:tcPr>
          <w:p w14:paraId="5AD5B569" w14:textId="77777777" w:rsidR="001E3F92" w:rsidRPr="00D43501" w:rsidRDefault="001E3F92" w:rsidP="008074B4">
            <w:pPr>
              <w:pStyle w:val="TableParagraph"/>
              <w:spacing w:after="60"/>
              <w:rPr>
                <w:rFonts w:ascii="Times New Roman"/>
                <w:sz w:val="18"/>
                <w:lang w:val="en-GB"/>
              </w:rPr>
            </w:pPr>
          </w:p>
        </w:tc>
        <w:tc>
          <w:tcPr>
            <w:tcW w:w="7938" w:type="dxa"/>
            <w:gridSpan w:val="2"/>
          </w:tcPr>
          <w:p w14:paraId="5885F78B" w14:textId="4ECB2B36" w:rsidR="001E3F92" w:rsidRDefault="001E3F92" w:rsidP="008074B4">
            <w:pPr>
              <w:pStyle w:val="TableParagraph"/>
              <w:spacing w:after="60" w:line="231" w:lineRule="exact"/>
              <w:rPr>
                <w:lang w:val="en-GB"/>
              </w:rPr>
            </w:pPr>
            <w:r>
              <w:rPr>
                <w:color w:val="000000" w:themeColor="text1"/>
                <w:lang w:val="en-GB"/>
              </w:rPr>
              <w:t>C Calder (Academic Development Lead)</w:t>
            </w:r>
          </w:p>
        </w:tc>
      </w:tr>
      <w:tr w:rsidR="001E3F92" w:rsidRPr="00D43501" w14:paraId="4859D417" w14:textId="77777777" w:rsidTr="00781ACC">
        <w:trPr>
          <w:trHeight w:val="250"/>
        </w:trPr>
        <w:tc>
          <w:tcPr>
            <w:tcW w:w="1985" w:type="dxa"/>
          </w:tcPr>
          <w:p w14:paraId="023F4A7F" w14:textId="77777777" w:rsidR="001E3F92" w:rsidRPr="00D43501" w:rsidRDefault="001E3F92" w:rsidP="008074B4">
            <w:pPr>
              <w:pStyle w:val="TableParagraph"/>
              <w:spacing w:after="60"/>
              <w:rPr>
                <w:rFonts w:ascii="Times New Roman"/>
                <w:sz w:val="18"/>
                <w:lang w:val="en-GB"/>
              </w:rPr>
            </w:pPr>
          </w:p>
        </w:tc>
        <w:tc>
          <w:tcPr>
            <w:tcW w:w="7938" w:type="dxa"/>
            <w:gridSpan w:val="2"/>
          </w:tcPr>
          <w:p w14:paraId="6080CD88" w14:textId="429B7A40" w:rsidR="001E3F92" w:rsidRDefault="001E3F92" w:rsidP="008074B4">
            <w:pPr>
              <w:pStyle w:val="TableParagraph"/>
              <w:spacing w:after="60" w:line="231" w:lineRule="exact"/>
              <w:rPr>
                <w:lang w:val="en-GB"/>
              </w:rPr>
            </w:pPr>
            <w:r>
              <w:rPr>
                <w:color w:val="000000" w:themeColor="text1"/>
                <w:lang w:val="en-GB"/>
              </w:rPr>
              <w:t>J Roscoe (Director of Curriculum and Partnerships)</w:t>
            </w:r>
          </w:p>
        </w:tc>
      </w:tr>
      <w:tr w:rsidR="001E3F92" w:rsidRPr="00D43501" w14:paraId="4B717C0B" w14:textId="77777777" w:rsidTr="00781ACC">
        <w:trPr>
          <w:trHeight w:val="250"/>
        </w:trPr>
        <w:tc>
          <w:tcPr>
            <w:tcW w:w="1985" w:type="dxa"/>
          </w:tcPr>
          <w:p w14:paraId="597B5AF4" w14:textId="77777777" w:rsidR="001E3F92" w:rsidRPr="00D43501" w:rsidRDefault="001E3F92" w:rsidP="008074B4">
            <w:pPr>
              <w:pStyle w:val="TableParagraph"/>
              <w:spacing w:after="60"/>
              <w:rPr>
                <w:rFonts w:ascii="Times New Roman"/>
                <w:sz w:val="18"/>
                <w:lang w:val="en-GB"/>
              </w:rPr>
            </w:pPr>
          </w:p>
        </w:tc>
        <w:tc>
          <w:tcPr>
            <w:tcW w:w="7938" w:type="dxa"/>
            <w:gridSpan w:val="2"/>
          </w:tcPr>
          <w:p w14:paraId="4D36D40B" w14:textId="0BCE23B3" w:rsidR="001E3F92" w:rsidRDefault="001E3F92" w:rsidP="008074B4">
            <w:pPr>
              <w:pStyle w:val="TableParagraph"/>
              <w:spacing w:after="60" w:line="231" w:lineRule="exact"/>
              <w:rPr>
                <w:lang w:val="en-GB"/>
              </w:rPr>
            </w:pPr>
            <w:r>
              <w:rPr>
                <w:color w:val="000000" w:themeColor="text1"/>
                <w:lang w:val="en-GB"/>
              </w:rPr>
              <w:t>N Anderson (Director of Finance)</w:t>
            </w:r>
          </w:p>
        </w:tc>
      </w:tr>
    </w:tbl>
    <w:p w14:paraId="716CA167" w14:textId="77777777" w:rsidR="00D209BB" w:rsidRDefault="00D209BB" w:rsidP="00D209BB">
      <w:pPr>
        <w:spacing w:before="7"/>
        <w:rPr>
          <w:b/>
        </w:rPr>
      </w:pPr>
    </w:p>
    <w:tbl>
      <w:tblPr>
        <w:tblW w:w="9923" w:type="dxa"/>
        <w:tblLayout w:type="fixed"/>
        <w:tblCellMar>
          <w:left w:w="0" w:type="dxa"/>
          <w:right w:w="0" w:type="dxa"/>
        </w:tblCellMar>
        <w:tblLook w:val="01E0" w:firstRow="1" w:lastRow="1" w:firstColumn="1" w:lastColumn="1" w:noHBand="0" w:noVBand="0"/>
      </w:tblPr>
      <w:tblGrid>
        <w:gridCol w:w="426"/>
        <w:gridCol w:w="9497"/>
      </w:tblGrid>
      <w:tr w:rsidR="001E3F92" w:rsidRPr="008074B4" w14:paraId="68D9BC46" w14:textId="77777777" w:rsidTr="00781ACC">
        <w:trPr>
          <w:trHeight w:val="376"/>
        </w:trPr>
        <w:tc>
          <w:tcPr>
            <w:tcW w:w="426" w:type="dxa"/>
          </w:tcPr>
          <w:p w14:paraId="6F78D431"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09714BAC" w14:textId="77777777" w:rsidR="001E3F92" w:rsidRPr="008074B4" w:rsidRDefault="001E3F92" w:rsidP="00042B25">
            <w:pPr>
              <w:pStyle w:val="TableParagraph"/>
              <w:rPr>
                <w:b/>
                <w:lang w:val="en-GB"/>
              </w:rPr>
            </w:pPr>
            <w:r w:rsidRPr="008074B4">
              <w:rPr>
                <w:b/>
                <w:lang w:val="en-GB"/>
              </w:rPr>
              <w:t>WELCOME</w:t>
            </w:r>
          </w:p>
          <w:p w14:paraId="34B1F62A" w14:textId="77777777" w:rsidR="001E3F92" w:rsidRPr="008074B4" w:rsidRDefault="001E3F92" w:rsidP="00042B25">
            <w:pPr>
              <w:pStyle w:val="TableParagraph"/>
              <w:rPr>
                <w:b/>
                <w:lang w:val="en-GB"/>
              </w:rPr>
            </w:pPr>
          </w:p>
          <w:p w14:paraId="0CC07DF3" w14:textId="04E828CC" w:rsidR="001E3F92" w:rsidRPr="008074B4" w:rsidRDefault="001E3F92" w:rsidP="00042B25">
            <w:pPr>
              <w:pStyle w:val="TableParagraph"/>
              <w:rPr>
                <w:b/>
                <w:lang w:val="en-GB"/>
              </w:rPr>
            </w:pPr>
            <w:r w:rsidRPr="008074B4">
              <w:rPr>
                <w:bCs/>
                <w:lang w:val="en-GB"/>
              </w:rPr>
              <w:t xml:space="preserve">D Mackenzie welcomed Committee members, L O’Donnell as an observer, </w:t>
            </w:r>
            <w:r w:rsidR="009C1F83" w:rsidRPr="008074B4">
              <w:rPr>
                <w:bCs/>
                <w:lang w:val="en-GB"/>
              </w:rPr>
              <w:t xml:space="preserve">N Anderson, </w:t>
            </w:r>
            <w:r w:rsidRPr="008074B4">
              <w:rPr>
                <w:bCs/>
                <w:lang w:val="en-GB"/>
              </w:rPr>
              <w:t>J</w:t>
            </w:r>
            <w:r w:rsidR="009C1F83" w:rsidRPr="008074B4">
              <w:rPr>
                <w:bCs/>
                <w:lang w:val="en-GB"/>
              </w:rPr>
              <w:t> </w:t>
            </w:r>
            <w:r w:rsidR="00C30CE4" w:rsidRPr="008074B4">
              <w:rPr>
                <w:bCs/>
                <w:lang w:val="en-GB"/>
              </w:rPr>
              <w:t>Roscoe,</w:t>
            </w:r>
            <w:r w:rsidRPr="008074B4">
              <w:rPr>
                <w:bCs/>
                <w:lang w:val="en-GB"/>
              </w:rPr>
              <w:t xml:space="preserve"> and C</w:t>
            </w:r>
            <w:r w:rsidR="009C1F83" w:rsidRPr="008074B4">
              <w:rPr>
                <w:bCs/>
                <w:lang w:val="en-GB"/>
              </w:rPr>
              <w:t> </w:t>
            </w:r>
            <w:r w:rsidRPr="008074B4">
              <w:rPr>
                <w:bCs/>
                <w:lang w:val="en-GB"/>
              </w:rPr>
              <w:t xml:space="preserve">Calder to the Human </w:t>
            </w:r>
            <w:r w:rsidR="00C30CE4" w:rsidRPr="008074B4">
              <w:rPr>
                <w:bCs/>
                <w:lang w:val="en-GB"/>
              </w:rPr>
              <w:t>R</w:t>
            </w:r>
            <w:r w:rsidRPr="008074B4">
              <w:rPr>
                <w:bCs/>
                <w:lang w:val="en-GB"/>
              </w:rPr>
              <w:t xml:space="preserve">esources &amp; Development Committee meeting. </w:t>
            </w:r>
          </w:p>
          <w:p w14:paraId="5A70C04D" w14:textId="77777777" w:rsidR="001E3F92" w:rsidRPr="008074B4" w:rsidRDefault="001E3F92" w:rsidP="00042B25">
            <w:pPr>
              <w:pStyle w:val="TableParagraph"/>
              <w:rPr>
                <w:b/>
                <w:lang w:val="en-GB"/>
              </w:rPr>
            </w:pPr>
          </w:p>
        </w:tc>
      </w:tr>
      <w:tr w:rsidR="001E3F92" w:rsidRPr="008074B4" w14:paraId="56149F52" w14:textId="77777777" w:rsidTr="00781ACC">
        <w:trPr>
          <w:trHeight w:val="506"/>
        </w:trPr>
        <w:tc>
          <w:tcPr>
            <w:tcW w:w="426" w:type="dxa"/>
          </w:tcPr>
          <w:p w14:paraId="0418BBB3"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285B900E" w14:textId="77777777" w:rsidR="001E3F92" w:rsidRPr="008074B4" w:rsidRDefault="001E3F92" w:rsidP="00042B25">
            <w:pPr>
              <w:pStyle w:val="TableParagraph"/>
              <w:rPr>
                <w:b/>
                <w:lang w:val="en-GB"/>
              </w:rPr>
            </w:pPr>
            <w:r w:rsidRPr="008074B4">
              <w:rPr>
                <w:b/>
                <w:lang w:val="en-GB"/>
              </w:rPr>
              <w:t>APOLOGIES</w:t>
            </w:r>
          </w:p>
          <w:p w14:paraId="5E0F4EAD" w14:textId="77777777" w:rsidR="001E3F92" w:rsidRPr="008074B4" w:rsidRDefault="001E3F92" w:rsidP="00042B25">
            <w:pPr>
              <w:pStyle w:val="TableParagraph"/>
              <w:rPr>
                <w:b/>
                <w:lang w:val="en-GB"/>
              </w:rPr>
            </w:pPr>
          </w:p>
          <w:p w14:paraId="1DE53302" w14:textId="2AE02A06" w:rsidR="001E3F92" w:rsidRPr="008074B4" w:rsidRDefault="001E3F92" w:rsidP="00042B25">
            <w:pPr>
              <w:pStyle w:val="TableParagraph"/>
              <w:rPr>
                <w:bCs/>
                <w:lang w:val="en-GB"/>
              </w:rPr>
            </w:pPr>
            <w:r w:rsidRPr="008074B4">
              <w:rPr>
                <w:bCs/>
                <w:lang w:val="en-GB"/>
              </w:rPr>
              <w:t>Apologies were received from J Buchanan, N Lowden and B Grace.</w:t>
            </w:r>
          </w:p>
          <w:p w14:paraId="43E57594" w14:textId="77777777" w:rsidR="001E3F92" w:rsidRPr="008074B4" w:rsidRDefault="001E3F92" w:rsidP="00042B25">
            <w:pPr>
              <w:pStyle w:val="TableParagraph"/>
              <w:rPr>
                <w:b/>
                <w:lang w:val="en-GB"/>
              </w:rPr>
            </w:pPr>
          </w:p>
        </w:tc>
      </w:tr>
      <w:tr w:rsidR="001E3F92" w:rsidRPr="008074B4" w14:paraId="3BFAD23E" w14:textId="77777777" w:rsidTr="00781ACC">
        <w:trPr>
          <w:trHeight w:val="506"/>
        </w:trPr>
        <w:tc>
          <w:tcPr>
            <w:tcW w:w="426" w:type="dxa"/>
          </w:tcPr>
          <w:p w14:paraId="7030FB61"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28A0D4C7" w14:textId="77777777" w:rsidR="001E3F92" w:rsidRPr="008074B4" w:rsidRDefault="001E3F92" w:rsidP="00042B25">
            <w:pPr>
              <w:pStyle w:val="TableParagraph"/>
              <w:rPr>
                <w:b/>
                <w:lang w:val="en-GB"/>
              </w:rPr>
            </w:pPr>
            <w:r w:rsidRPr="008074B4">
              <w:rPr>
                <w:b/>
                <w:lang w:val="en-GB"/>
              </w:rPr>
              <w:t>DECLARATIONS OF CONNECTION &amp; INTEREST</w:t>
            </w:r>
          </w:p>
          <w:p w14:paraId="1AF69BC8" w14:textId="77777777" w:rsidR="001E3F92" w:rsidRPr="008074B4" w:rsidRDefault="001E3F92" w:rsidP="00042B25">
            <w:pPr>
              <w:pStyle w:val="TableParagraph"/>
              <w:rPr>
                <w:b/>
                <w:lang w:val="en-GB"/>
              </w:rPr>
            </w:pPr>
          </w:p>
          <w:p w14:paraId="5E62D472" w14:textId="2EF16682" w:rsidR="001E3F92" w:rsidRPr="008074B4" w:rsidRDefault="001E3F92" w:rsidP="00042B25">
            <w:pPr>
              <w:pStyle w:val="TableParagraph"/>
              <w:rPr>
                <w:b/>
                <w:lang w:val="en-GB"/>
              </w:rPr>
            </w:pPr>
            <w:r w:rsidRPr="008074B4">
              <w:rPr>
                <w:bCs/>
                <w:lang w:val="en-GB"/>
              </w:rPr>
              <w:t>There were no declarations of interest or connection.</w:t>
            </w:r>
          </w:p>
          <w:p w14:paraId="2228BC57" w14:textId="77777777" w:rsidR="001E3F92" w:rsidRPr="008074B4" w:rsidRDefault="001E3F92" w:rsidP="00042B25">
            <w:pPr>
              <w:pStyle w:val="TableParagraph"/>
              <w:rPr>
                <w:b/>
                <w:lang w:val="en-GB"/>
              </w:rPr>
            </w:pPr>
          </w:p>
        </w:tc>
      </w:tr>
      <w:tr w:rsidR="001E3F92" w:rsidRPr="008074B4" w14:paraId="581E4D45" w14:textId="77777777" w:rsidTr="00781ACC">
        <w:trPr>
          <w:trHeight w:val="506"/>
        </w:trPr>
        <w:tc>
          <w:tcPr>
            <w:tcW w:w="426" w:type="dxa"/>
          </w:tcPr>
          <w:p w14:paraId="2060696B"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750A601F" w14:textId="50A60D09" w:rsidR="001E3F92" w:rsidRPr="008074B4" w:rsidRDefault="001E3F92" w:rsidP="00042B25">
            <w:pPr>
              <w:pStyle w:val="TableParagraph"/>
              <w:rPr>
                <w:b/>
                <w:lang w:val="en-GB"/>
              </w:rPr>
            </w:pPr>
            <w:r w:rsidRPr="008074B4">
              <w:rPr>
                <w:b/>
                <w:lang w:val="en-GB"/>
              </w:rPr>
              <w:t>APPOINTMENT OF A VICE CHAIR</w:t>
            </w:r>
          </w:p>
          <w:p w14:paraId="78E9FB65" w14:textId="77777777" w:rsidR="001E3F92" w:rsidRPr="008074B4" w:rsidRDefault="001E3F92" w:rsidP="00042B25">
            <w:pPr>
              <w:pStyle w:val="TableParagraph"/>
              <w:rPr>
                <w:b/>
                <w:lang w:val="en-GB"/>
              </w:rPr>
            </w:pPr>
          </w:p>
          <w:p w14:paraId="11DDADF2" w14:textId="0C3E76C4" w:rsidR="001E3F92" w:rsidRPr="008074B4" w:rsidRDefault="001E3F92" w:rsidP="00042B25">
            <w:pPr>
              <w:pStyle w:val="TableParagraph"/>
              <w:rPr>
                <w:bCs/>
                <w:lang w:val="en-GB"/>
              </w:rPr>
            </w:pPr>
            <w:r w:rsidRPr="008074B4">
              <w:rPr>
                <w:bCs/>
                <w:lang w:val="en-GB"/>
              </w:rPr>
              <w:t>S Taylor highlighted the vacancy available as Vice Chair within the Human Resources and Development Committee</w:t>
            </w:r>
            <w:r w:rsidR="00E64987" w:rsidRPr="008074B4">
              <w:rPr>
                <w:bCs/>
                <w:lang w:val="en-GB"/>
              </w:rPr>
              <w:t xml:space="preserve"> and asked that any Committee members interested in the role let him know</w:t>
            </w:r>
            <w:r w:rsidRPr="008074B4">
              <w:rPr>
                <w:bCs/>
                <w:lang w:val="en-GB"/>
              </w:rPr>
              <w:t xml:space="preserve">. </w:t>
            </w:r>
          </w:p>
          <w:p w14:paraId="2DB8FFFE" w14:textId="77777777" w:rsidR="001E3F92" w:rsidRPr="008074B4" w:rsidRDefault="001E3F92" w:rsidP="00042B25">
            <w:pPr>
              <w:pStyle w:val="TableParagraph"/>
              <w:rPr>
                <w:b/>
                <w:lang w:val="en-GB"/>
              </w:rPr>
            </w:pPr>
          </w:p>
        </w:tc>
      </w:tr>
      <w:tr w:rsidR="001E3F92" w:rsidRPr="008074B4" w14:paraId="38CFB8C9" w14:textId="77777777" w:rsidTr="00781ACC">
        <w:trPr>
          <w:trHeight w:val="759"/>
        </w:trPr>
        <w:tc>
          <w:tcPr>
            <w:tcW w:w="426" w:type="dxa"/>
          </w:tcPr>
          <w:p w14:paraId="1D872D48"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7FC2AA67" w14:textId="09679B35" w:rsidR="001E3F92" w:rsidRPr="008074B4" w:rsidRDefault="001E3F92" w:rsidP="00042B25">
            <w:pPr>
              <w:pStyle w:val="TableParagraph"/>
              <w:rPr>
                <w:lang w:val="en-GB"/>
              </w:rPr>
            </w:pPr>
            <w:r w:rsidRPr="008074B4">
              <w:rPr>
                <w:b/>
                <w:lang w:val="en-GB"/>
              </w:rPr>
              <w:t>MINUTE OF THE PREVIOUS MEETING</w:t>
            </w:r>
            <w:r w:rsidRPr="008074B4">
              <w:rPr>
                <w:lang w:val="en-GB"/>
              </w:rPr>
              <w:t xml:space="preserve"> </w:t>
            </w:r>
          </w:p>
          <w:p w14:paraId="0CA53768" w14:textId="77777777" w:rsidR="001E3F92" w:rsidRPr="008074B4" w:rsidRDefault="001E3F92" w:rsidP="00042B25">
            <w:pPr>
              <w:pStyle w:val="TableParagraph"/>
              <w:rPr>
                <w:lang w:val="en-GB"/>
              </w:rPr>
            </w:pPr>
          </w:p>
          <w:p w14:paraId="275948A7" w14:textId="0D719F32" w:rsidR="001E3F92" w:rsidRPr="008074B4" w:rsidRDefault="001E3F92" w:rsidP="00042B25">
            <w:pPr>
              <w:pStyle w:val="TableParagraph"/>
              <w:rPr>
                <w:lang w:val="en-GB"/>
              </w:rPr>
            </w:pPr>
            <w:r w:rsidRPr="008074B4">
              <w:rPr>
                <w:lang w:val="en-GB"/>
              </w:rPr>
              <w:t xml:space="preserve">The minute of the meeting held on 9 November 2023 was approved as an accurate record. </w:t>
            </w:r>
          </w:p>
          <w:p w14:paraId="65E0D522" w14:textId="77777777" w:rsidR="001E3F92" w:rsidRPr="008074B4" w:rsidRDefault="001E3F92" w:rsidP="00042B25">
            <w:pPr>
              <w:pStyle w:val="TableParagraph"/>
              <w:rPr>
                <w:lang w:val="en-GB"/>
              </w:rPr>
            </w:pPr>
          </w:p>
        </w:tc>
      </w:tr>
      <w:tr w:rsidR="001E3F92" w:rsidRPr="008074B4" w14:paraId="4B9CAE48" w14:textId="77777777" w:rsidTr="00781ACC">
        <w:trPr>
          <w:trHeight w:val="505"/>
        </w:trPr>
        <w:tc>
          <w:tcPr>
            <w:tcW w:w="426" w:type="dxa"/>
          </w:tcPr>
          <w:p w14:paraId="13F0C373"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1AE07D61" w14:textId="77777777" w:rsidR="001E3F92" w:rsidRPr="008074B4" w:rsidRDefault="001E3F92" w:rsidP="00042B25">
            <w:pPr>
              <w:pStyle w:val="TableParagraph"/>
              <w:rPr>
                <w:b/>
                <w:lang w:val="en-GB"/>
              </w:rPr>
            </w:pPr>
            <w:r w:rsidRPr="008074B4">
              <w:rPr>
                <w:b/>
                <w:lang w:val="en-GB"/>
              </w:rPr>
              <w:t>MATTERS ARISING</w:t>
            </w:r>
          </w:p>
          <w:p w14:paraId="1C03E6AD" w14:textId="77777777" w:rsidR="001E3F92" w:rsidRPr="008074B4" w:rsidRDefault="001E3F92" w:rsidP="00042B25">
            <w:pPr>
              <w:pStyle w:val="TableParagraph"/>
              <w:rPr>
                <w:b/>
                <w:lang w:val="en-GB"/>
              </w:rPr>
            </w:pPr>
          </w:p>
          <w:p w14:paraId="2D0F9124" w14:textId="612CA0BA" w:rsidR="001E3F92" w:rsidRPr="008074B4" w:rsidRDefault="001E3F92" w:rsidP="00042B25">
            <w:pPr>
              <w:pStyle w:val="TableParagraph"/>
              <w:rPr>
                <w:b/>
                <w:lang w:val="en-GB"/>
              </w:rPr>
            </w:pPr>
            <w:r w:rsidRPr="008074B4">
              <w:rPr>
                <w:bCs/>
                <w:lang w:val="en-GB"/>
              </w:rPr>
              <w:t>There were no matters arising.</w:t>
            </w:r>
          </w:p>
          <w:p w14:paraId="714A95A5" w14:textId="77777777" w:rsidR="001E3F92" w:rsidRDefault="001E3F92" w:rsidP="00042B25">
            <w:pPr>
              <w:pStyle w:val="TableParagraph"/>
              <w:rPr>
                <w:b/>
                <w:lang w:val="en-GB"/>
              </w:rPr>
            </w:pPr>
          </w:p>
          <w:p w14:paraId="08A490C9" w14:textId="77777777" w:rsidR="00781ACC" w:rsidRDefault="00781ACC" w:rsidP="00042B25">
            <w:pPr>
              <w:pStyle w:val="TableParagraph"/>
              <w:rPr>
                <w:b/>
                <w:lang w:val="en-GB"/>
              </w:rPr>
            </w:pPr>
          </w:p>
          <w:p w14:paraId="1686DC36" w14:textId="77777777" w:rsidR="00781ACC" w:rsidRPr="008074B4" w:rsidRDefault="00781ACC" w:rsidP="00042B25">
            <w:pPr>
              <w:pStyle w:val="TableParagraph"/>
              <w:rPr>
                <w:b/>
                <w:lang w:val="en-GB"/>
              </w:rPr>
            </w:pPr>
          </w:p>
        </w:tc>
      </w:tr>
      <w:tr w:rsidR="001E3F92" w:rsidRPr="008074B4" w14:paraId="04A12597" w14:textId="77777777" w:rsidTr="00781ACC">
        <w:trPr>
          <w:trHeight w:val="507"/>
        </w:trPr>
        <w:tc>
          <w:tcPr>
            <w:tcW w:w="426" w:type="dxa"/>
          </w:tcPr>
          <w:p w14:paraId="54D6CFF4"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73E33444" w14:textId="5B3C3656" w:rsidR="001E3F92" w:rsidRPr="008074B4" w:rsidRDefault="001E3F92" w:rsidP="00C971E0">
            <w:pPr>
              <w:pStyle w:val="TableParagraph"/>
              <w:rPr>
                <w:b/>
                <w:lang w:val="en-GB"/>
              </w:rPr>
            </w:pPr>
            <w:r w:rsidRPr="008074B4">
              <w:rPr>
                <w:b/>
                <w:lang w:val="en-GB"/>
              </w:rPr>
              <w:t>PEOPLE, OD &amp; COMMUNICATIONS REPORT</w:t>
            </w:r>
          </w:p>
          <w:p w14:paraId="25D58F2E" w14:textId="77777777" w:rsidR="001E3F92" w:rsidRPr="008074B4" w:rsidRDefault="001E3F92" w:rsidP="00C971E0">
            <w:pPr>
              <w:pStyle w:val="TableParagraph"/>
              <w:rPr>
                <w:b/>
                <w:lang w:val="en-GB"/>
              </w:rPr>
            </w:pPr>
          </w:p>
          <w:p w14:paraId="6DA2F856" w14:textId="49992DCF" w:rsidR="001E3F92" w:rsidRPr="008074B4" w:rsidRDefault="001E3F92" w:rsidP="00C971E0">
            <w:pPr>
              <w:pStyle w:val="TableParagraph"/>
              <w:rPr>
                <w:bCs/>
                <w:lang w:val="en-GB"/>
              </w:rPr>
            </w:pPr>
            <w:r w:rsidRPr="008074B4">
              <w:rPr>
                <w:bCs/>
                <w:lang w:val="en-GB"/>
              </w:rPr>
              <w:t>S Taylor</w:t>
            </w:r>
            <w:r w:rsidR="00B53448" w:rsidRPr="008074B4">
              <w:rPr>
                <w:bCs/>
                <w:lang w:val="en-GB"/>
              </w:rPr>
              <w:t xml:space="preserve"> summari</w:t>
            </w:r>
            <w:r w:rsidR="000A4DCE">
              <w:rPr>
                <w:bCs/>
                <w:lang w:val="en-GB"/>
              </w:rPr>
              <w:t>s</w:t>
            </w:r>
            <w:r w:rsidR="00B53448" w:rsidRPr="008074B4">
              <w:rPr>
                <w:bCs/>
                <w:lang w:val="en-GB"/>
              </w:rPr>
              <w:t>ed the report, noting</w:t>
            </w:r>
            <w:r w:rsidRPr="008074B4">
              <w:rPr>
                <w:bCs/>
                <w:lang w:val="en-GB"/>
              </w:rPr>
              <w:t xml:space="preserve"> the limited interest received in the Voluntary Severance </w:t>
            </w:r>
            <w:r w:rsidR="000A4DCE">
              <w:rPr>
                <w:bCs/>
                <w:lang w:val="en-GB"/>
              </w:rPr>
              <w:t>scheme</w:t>
            </w:r>
            <w:r w:rsidR="00781ACC">
              <w:rPr>
                <w:bCs/>
                <w:lang w:val="en-GB"/>
              </w:rPr>
              <w:t xml:space="preserve">. This was </w:t>
            </w:r>
            <w:proofErr w:type="gramStart"/>
            <w:r w:rsidR="00781ACC">
              <w:rPr>
                <w:bCs/>
                <w:lang w:val="en-GB"/>
              </w:rPr>
              <w:t>not unexpected</w:t>
            </w:r>
            <w:proofErr w:type="gramEnd"/>
            <w:r w:rsidR="00781ACC">
              <w:rPr>
                <w:bCs/>
                <w:lang w:val="en-GB"/>
              </w:rPr>
              <w:t xml:space="preserve"> given the</w:t>
            </w:r>
            <w:r w:rsidRPr="008074B4">
              <w:rPr>
                <w:bCs/>
                <w:lang w:val="en-GB"/>
              </w:rPr>
              <w:t xml:space="preserve"> number of departures from the college in the last year. Decisions regarding these applications are underway to support the future financial stability of the college. Given the ongoing necessity for savings, it is anticipated that the scheme will reopen periodically throughout 2024, ensuring flexibility until the end of the calendar year. </w:t>
            </w:r>
          </w:p>
          <w:p w14:paraId="275A55B1" w14:textId="6D98DADF" w:rsidR="00B43F99" w:rsidRDefault="001E3F92" w:rsidP="00C971E0">
            <w:pPr>
              <w:pStyle w:val="TableParagraph"/>
              <w:rPr>
                <w:bCs/>
                <w:lang w:val="en-GB"/>
              </w:rPr>
            </w:pPr>
            <w:r w:rsidRPr="008074B4">
              <w:rPr>
                <w:b/>
                <w:lang w:val="en-GB"/>
              </w:rPr>
              <w:br/>
            </w:r>
            <w:r w:rsidR="00CC0E4B">
              <w:rPr>
                <w:bCs/>
                <w:lang w:val="en-GB"/>
              </w:rPr>
              <w:t>The new role of Transformation Officer, and initial priority areas for development were noted</w:t>
            </w:r>
            <w:r w:rsidR="00B43F99">
              <w:rPr>
                <w:bCs/>
                <w:lang w:val="en-GB"/>
              </w:rPr>
              <w:t xml:space="preserve"> with interest.</w:t>
            </w:r>
            <w:r w:rsidR="00370A9F">
              <w:rPr>
                <w:bCs/>
                <w:lang w:val="en-GB"/>
              </w:rPr>
              <w:t xml:space="preserve">  Progress around the creation and appointment to </w:t>
            </w:r>
            <w:r w:rsidR="00647EE3">
              <w:rPr>
                <w:bCs/>
                <w:lang w:val="en-GB"/>
              </w:rPr>
              <w:t>trade union nominated board member positions was noted.</w:t>
            </w:r>
          </w:p>
          <w:p w14:paraId="50F37355" w14:textId="77777777" w:rsidR="00B43F99" w:rsidRDefault="00B43F99" w:rsidP="00C971E0">
            <w:pPr>
              <w:pStyle w:val="TableParagraph"/>
              <w:rPr>
                <w:bCs/>
                <w:lang w:val="en-GB"/>
              </w:rPr>
            </w:pPr>
          </w:p>
          <w:p w14:paraId="156A6516" w14:textId="3D197632" w:rsidR="001E3F92" w:rsidRPr="008074B4" w:rsidRDefault="001E3F92" w:rsidP="00C971E0">
            <w:pPr>
              <w:pStyle w:val="TableParagraph"/>
              <w:rPr>
                <w:bCs/>
                <w:lang w:val="en-GB"/>
              </w:rPr>
            </w:pPr>
            <w:r w:rsidRPr="008074B4">
              <w:rPr>
                <w:bCs/>
                <w:lang w:val="en-GB"/>
              </w:rPr>
              <w:t xml:space="preserve">As part of the agreed outcomes from the 2023 Savings Plan, a Lessons Learned discussion was arranged and recognised with unions, mirroring a similar exercise conducted previously. This session, held before Christmas 2023, proved to be valuable and constructive, with discussions focusing primarily on communication strategies. A range of practical outcomes were confirmed and are being enacted as required. </w:t>
            </w:r>
          </w:p>
          <w:p w14:paraId="48F75539" w14:textId="07660E74" w:rsidR="001E3F92" w:rsidRDefault="001E3F92" w:rsidP="00C971E0">
            <w:pPr>
              <w:pStyle w:val="TableParagraph"/>
              <w:rPr>
                <w:bCs/>
                <w:lang w:val="en-GB"/>
              </w:rPr>
            </w:pPr>
            <w:r w:rsidRPr="008074B4">
              <w:rPr>
                <w:b/>
                <w:lang w:val="en-GB"/>
              </w:rPr>
              <w:br/>
            </w:r>
            <w:r w:rsidRPr="008074B4">
              <w:rPr>
                <w:bCs/>
                <w:lang w:val="en-GB"/>
              </w:rPr>
              <w:t>Additionally, S Taylor provided an update on the progress of arrangements to support the professional registration teaching staff through GTCS. While progress is underway, it is anticipated that it will take a considerable amount of time for all eligible staff within the sector to complete registration due to their capacity constraints of GTCS. As a result, Dundee &amp; Angus College have 224 eligible staff members to progress their registration</w:t>
            </w:r>
            <w:r w:rsidR="004D5FB8">
              <w:rPr>
                <w:bCs/>
                <w:lang w:val="en-GB"/>
              </w:rPr>
              <w:t>, with GTCS estimating that they can manage 500 membership applications per year.</w:t>
            </w:r>
            <w:r w:rsidRPr="008074B4">
              <w:rPr>
                <w:bCs/>
                <w:lang w:val="en-GB"/>
              </w:rPr>
              <w:t xml:space="preserve"> </w:t>
            </w:r>
          </w:p>
          <w:p w14:paraId="0BEA49B2" w14:textId="77777777" w:rsidR="00B23A69" w:rsidRDefault="00B23A69" w:rsidP="00C971E0">
            <w:pPr>
              <w:pStyle w:val="TableParagraph"/>
              <w:rPr>
                <w:bCs/>
                <w:lang w:val="en-GB"/>
              </w:rPr>
            </w:pPr>
          </w:p>
          <w:p w14:paraId="19D48F20" w14:textId="00D2B3B9" w:rsidR="00B23A69" w:rsidRPr="008074B4" w:rsidRDefault="00B23A69" w:rsidP="00C971E0">
            <w:pPr>
              <w:pStyle w:val="TableParagraph"/>
              <w:rPr>
                <w:bCs/>
                <w:lang w:val="en-GB"/>
              </w:rPr>
            </w:pPr>
            <w:r>
              <w:rPr>
                <w:bCs/>
                <w:lang w:val="en-GB"/>
              </w:rPr>
              <w:t>S Taylor noted the significant work planned for the future including the staff survey and updates to the People Strategy and Workforce Plan.</w:t>
            </w:r>
          </w:p>
          <w:p w14:paraId="12F655E1" w14:textId="0BCC76D6" w:rsidR="001E3F92" w:rsidRPr="008074B4" w:rsidRDefault="001E3F92" w:rsidP="00C971E0">
            <w:pPr>
              <w:pStyle w:val="TableParagraph"/>
              <w:rPr>
                <w:bCs/>
                <w:lang w:val="en-GB"/>
              </w:rPr>
            </w:pPr>
          </w:p>
          <w:p w14:paraId="789C9592" w14:textId="73303873" w:rsidR="001E3F92" w:rsidRPr="008074B4" w:rsidRDefault="001E3F92" w:rsidP="00042B25">
            <w:pPr>
              <w:pStyle w:val="TableParagraph"/>
              <w:rPr>
                <w:b/>
                <w:lang w:val="en-GB"/>
              </w:rPr>
            </w:pPr>
            <w:r w:rsidRPr="008074B4">
              <w:rPr>
                <w:bCs/>
                <w:lang w:val="en-GB"/>
              </w:rPr>
              <w:t>D Mackenzie commended the report and expressed gratitude to S Taylor</w:t>
            </w:r>
            <w:r w:rsidR="004D5FB8">
              <w:rPr>
                <w:bCs/>
                <w:lang w:val="en-GB"/>
              </w:rPr>
              <w:t xml:space="preserve"> and the wider team for their </w:t>
            </w:r>
            <w:r w:rsidRPr="008074B4">
              <w:rPr>
                <w:bCs/>
                <w:lang w:val="en-GB"/>
              </w:rPr>
              <w:t>contribution</w:t>
            </w:r>
            <w:r w:rsidR="004D5FB8">
              <w:rPr>
                <w:bCs/>
                <w:lang w:val="en-GB"/>
              </w:rPr>
              <w:t>.</w:t>
            </w:r>
          </w:p>
          <w:p w14:paraId="4FF4AEA3" w14:textId="77777777" w:rsidR="001E3F92" w:rsidRPr="008074B4" w:rsidRDefault="001E3F92" w:rsidP="00042B25">
            <w:pPr>
              <w:pStyle w:val="TableParagraph"/>
              <w:rPr>
                <w:b/>
                <w:lang w:val="en-GB"/>
              </w:rPr>
            </w:pPr>
          </w:p>
        </w:tc>
      </w:tr>
      <w:tr w:rsidR="001E3F92" w:rsidRPr="008074B4" w14:paraId="4360AAEA" w14:textId="77777777" w:rsidTr="00781ACC">
        <w:trPr>
          <w:trHeight w:val="505"/>
        </w:trPr>
        <w:tc>
          <w:tcPr>
            <w:tcW w:w="426" w:type="dxa"/>
          </w:tcPr>
          <w:p w14:paraId="352BC45C"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6B18C13B" w14:textId="7D5F3CB2" w:rsidR="001E3F92" w:rsidRPr="008074B4" w:rsidRDefault="001E3F92" w:rsidP="00D209BB">
            <w:pPr>
              <w:pStyle w:val="TableParagraph"/>
              <w:ind w:right="-4160"/>
              <w:rPr>
                <w:b/>
                <w:lang w:val="en-GB"/>
              </w:rPr>
            </w:pPr>
            <w:r w:rsidRPr="008074B4">
              <w:rPr>
                <w:b/>
                <w:lang w:val="en-GB"/>
              </w:rPr>
              <w:t>PRESENTATION – CPD PROGRAMME DEVELOPMENTS</w:t>
            </w:r>
          </w:p>
          <w:p w14:paraId="548F23DF" w14:textId="77777777" w:rsidR="001E3F92" w:rsidRPr="008074B4" w:rsidRDefault="001E3F92" w:rsidP="00042B25">
            <w:pPr>
              <w:pStyle w:val="TableParagraph"/>
              <w:rPr>
                <w:b/>
                <w:lang w:val="en-GB"/>
              </w:rPr>
            </w:pPr>
          </w:p>
          <w:p w14:paraId="01B4917E" w14:textId="65DF84B3" w:rsidR="001E3F92" w:rsidRPr="008074B4" w:rsidRDefault="001E3F92" w:rsidP="00042B25">
            <w:pPr>
              <w:pStyle w:val="TableParagraph"/>
              <w:rPr>
                <w:bCs/>
                <w:lang w:val="en-GB"/>
              </w:rPr>
            </w:pPr>
            <w:r w:rsidRPr="008074B4">
              <w:rPr>
                <w:bCs/>
                <w:lang w:val="en-GB"/>
              </w:rPr>
              <w:t>C Calder and J Roscoe delivered their presentation on the CPD Programme Development.</w:t>
            </w:r>
          </w:p>
          <w:p w14:paraId="3A1391FD" w14:textId="77777777" w:rsidR="001E3F92" w:rsidRPr="008074B4" w:rsidRDefault="001E3F92" w:rsidP="00042B25">
            <w:pPr>
              <w:pStyle w:val="TableParagraph"/>
              <w:rPr>
                <w:bCs/>
                <w:lang w:val="en-GB"/>
              </w:rPr>
            </w:pPr>
          </w:p>
          <w:p w14:paraId="23506807" w14:textId="3E0C4084" w:rsidR="001E3F92" w:rsidRPr="008074B4" w:rsidRDefault="001E3F92" w:rsidP="00012FF5">
            <w:pPr>
              <w:pStyle w:val="TableParagraph"/>
              <w:rPr>
                <w:bCs/>
                <w:lang w:val="en-GB"/>
              </w:rPr>
            </w:pPr>
            <w:r w:rsidRPr="008074B4">
              <w:rPr>
                <w:bCs/>
                <w:lang w:val="en-GB"/>
              </w:rPr>
              <w:t>C Calder &amp; J Roscoe highlighted the feedback regarding collaboration has been largely positive. However, it was noted that during the Staff Development Days in August 2023, staff felt that two days of collaboration were excessive. Consequently, this feedback has been taken into consideration and adjustments made for the upcoming staff day in August 2024. The emphasis will remain on providing bespoke support to staff</w:t>
            </w:r>
            <w:r w:rsidR="00CC1B55">
              <w:rPr>
                <w:bCs/>
                <w:lang w:val="en-GB"/>
              </w:rPr>
              <w:t>.</w:t>
            </w:r>
          </w:p>
          <w:p w14:paraId="2FCE3DE4" w14:textId="77777777" w:rsidR="001E3F92" w:rsidRPr="008074B4" w:rsidRDefault="001E3F92" w:rsidP="00012FF5">
            <w:pPr>
              <w:pStyle w:val="TableParagraph"/>
              <w:rPr>
                <w:bCs/>
                <w:lang w:val="en-GB"/>
              </w:rPr>
            </w:pPr>
          </w:p>
          <w:p w14:paraId="4290A466" w14:textId="6F2452D4" w:rsidR="001E3F92" w:rsidRPr="008074B4" w:rsidRDefault="001E3F92" w:rsidP="00012FF5">
            <w:pPr>
              <w:pStyle w:val="TableParagraph"/>
              <w:rPr>
                <w:bCs/>
                <w:lang w:val="en-GB"/>
              </w:rPr>
            </w:pPr>
            <w:r w:rsidRPr="008074B4">
              <w:rPr>
                <w:bCs/>
                <w:lang w:val="en-GB"/>
              </w:rPr>
              <w:t xml:space="preserve">Progress on Insight training has been effective, with Insight Practitioners within the </w:t>
            </w:r>
            <w:r w:rsidR="00E719A9">
              <w:rPr>
                <w:bCs/>
                <w:lang w:val="en-GB"/>
              </w:rPr>
              <w:t>c</w:t>
            </w:r>
            <w:r w:rsidRPr="008074B4">
              <w:rPr>
                <w:bCs/>
                <w:lang w:val="en-GB"/>
              </w:rPr>
              <w:t>ollege increasing in numbers. It was reported that 13 teams have already undergone Insight training. S</w:t>
            </w:r>
            <w:r w:rsidR="00CC1B55">
              <w:rPr>
                <w:bCs/>
                <w:lang w:val="en-GB"/>
              </w:rPr>
              <w:t> </w:t>
            </w:r>
            <w:r w:rsidRPr="008074B4">
              <w:rPr>
                <w:bCs/>
                <w:lang w:val="en-GB"/>
              </w:rPr>
              <w:t xml:space="preserve">Hewitt </w:t>
            </w:r>
            <w:r w:rsidR="00CC1B55">
              <w:rPr>
                <w:bCs/>
                <w:lang w:val="en-GB"/>
              </w:rPr>
              <w:t>noted how this growing engagement had helped</w:t>
            </w:r>
            <w:r w:rsidR="00596389">
              <w:rPr>
                <w:bCs/>
                <w:lang w:val="en-GB"/>
              </w:rPr>
              <w:t xml:space="preserve"> provide an over-view of the </w:t>
            </w:r>
            <w:r w:rsidR="00E719A9">
              <w:rPr>
                <w:bCs/>
                <w:lang w:val="en-GB"/>
              </w:rPr>
              <w:t>c</w:t>
            </w:r>
            <w:r w:rsidR="00596389">
              <w:rPr>
                <w:bCs/>
                <w:lang w:val="en-GB"/>
              </w:rPr>
              <w:t>ollege in terms of preferred communication styles etc.</w:t>
            </w:r>
          </w:p>
          <w:p w14:paraId="2459463B" w14:textId="77777777" w:rsidR="001E3F92" w:rsidRPr="008074B4" w:rsidRDefault="001E3F92" w:rsidP="00012FF5">
            <w:pPr>
              <w:pStyle w:val="TableParagraph"/>
              <w:rPr>
                <w:bCs/>
                <w:lang w:val="en-GB"/>
              </w:rPr>
            </w:pPr>
          </w:p>
          <w:p w14:paraId="52F400EB" w14:textId="4F76CCDA" w:rsidR="001E3F92" w:rsidRPr="008074B4" w:rsidRDefault="001E3F92" w:rsidP="00012FF5">
            <w:pPr>
              <w:pStyle w:val="TableParagraph"/>
              <w:rPr>
                <w:bCs/>
                <w:lang w:val="en-GB"/>
              </w:rPr>
            </w:pPr>
            <w:r w:rsidRPr="008074B4">
              <w:rPr>
                <w:bCs/>
                <w:lang w:val="en-GB"/>
              </w:rPr>
              <w:t xml:space="preserve">C Calder and J Roscoe discussed the </w:t>
            </w:r>
            <w:r w:rsidR="00E719A9">
              <w:rPr>
                <w:bCs/>
                <w:lang w:val="en-GB"/>
              </w:rPr>
              <w:t>focus across CPD activities on</w:t>
            </w:r>
            <w:r w:rsidRPr="008074B4">
              <w:rPr>
                <w:bCs/>
                <w:lang w:val="en-GB"/>
              </w:rPr>
              <w:t xml:space="preserve"> People and Professionalism, focusing on what is specific to the role and what it entails within the college. They emphasised the professional journey of becoming and being an experienced professional lecturer, highlighting the process of changing one’s professional identity. </w:t>
            </w:r>
          </w:p>
          <w:p w14:paraId="145192B7" w14:textId="77777777" w:rsidR="001E3F92" w:rsidRPr="008074B4" w:rsidRDefault="001E3F92" w:rsidP="00012FF5">
            <w:pPr>
              <w:pStyle w:val="TableParagraph"/>
              <w:rPr>
                <w:bCs/>
                <w:lang w:val="en-GB"/>
              </w:rPr>
            </w:pPr>
          </w:p>
          <w:p w14:paraId="21188104" w14:textId="03CC943F" w:rsidR="001E3F92" w:rsidRPr="008074B4" w:rsidRDefault="001E3F92" w:rsidP="00042B25">
            <w:pPr>
              <w:pStyle w:val="TableParagraph"/>
              <w:rPr>
                <w:bCs/>
                <w:lang w:val="en-GB"/>
              </w:rPr>
            </w:pPr>
            <w:r w:rsidRPr="008074B4">
              <w:rPr>
                <w:bCs/>
                <w:lang w:val="en-GB"/>
              </w:rPr>
              <w:t>Collaborations and reflection were highlighted as crucial aspects, emphasising the individual’s ability to reflect on their practice. They mentioned revisiting reflective training conducted last year and discussed ongoing CPD training such as coaching</w:t>
            </w:r>
            <w:r w:rsidR="00E719A9">
              <w:rPr>
                <w:bCs/>
                <w:lang w:val="en-GB"/>
              </w:rPr>
              <w:t xml:space="preserve"> to underpin reflecti</w:t>
            </w:r>
            <w:r w:rsidR="008236A0">
              <w:rPr>
                <w:bCs/>
                <w:lang w:val="en-GB"/>
              </w:rPr>
              <w:t>ve practice</w:t>
            </w:r>
            <w:r w:rsidRPr="008074B4">
              <w:rPr>
                <w:bCs/>
                <w:lang w:val="en-GB"/>
              </w:rPr>
              <w:t xml:space="preserve">. </w:t>
            </w:r>
          </w:p>
          <w:p w14:paraId="3FD20711" w14:textId="77777777" w:rsidR="001E3F92" w:rsidRPr="008074B4" w:rsidRDefault="001E3F92" w:rsidP="00042B25">
            <w:pPr>
              <w:pStyle w:val="TableParagraph"/>
              <w:rPr>
                <w:b/>
                <w:lang w:val="en-GB"/>
              </w:rPr>
            </w:pPr>
          </w:p>
          <w:p w14:paraId="4FBC9203" w14:textId="3BC4A145" w:rsidR="001E3F92" w:rsidRPr="008074B4" w:rsidRDefault="001E3F92" w:rsidP="00042B25">
            <w:pPr>
              <w:pStyle w:val="TableParagraph"/>
              <w:rPr>
                <w:bCs/>
                <w:lang w:val="en-GB"/>
              </w:rPr>
            </w:pPr>
            <w:r w:rsidRPr="008074B4">
              <w:rPr>
                <w:bCs/>
                <w:lang w:val="en-GB"/>
              </w:rPr>
              <w:t xml:space="preserve">J Roscoe highlighted the topic of People and Performance, emphasising the significance of culture in fostering self-awareness and improvement across all roles within the college. </w:t>
            </w:r>
          </w:p>
          <w:p w14:paraId="2DB002AD" w14:textId="77777777" w:rsidR="001E3F92" w:rsidRPr="008074B4" w:rsidRDefault="001E3F92" w:rsidP="00042B25">
            <w:pPr>
              <w:pStyle w:val="TableParagraph"/>
              <w:rPr>
                <w:bCs/>
                <w:lang w:val="en-GB"/>
              </w:rPr>
            </w:pPr>
          </w:p>
          <w:p w14:paraId="33639920" w14:textId="0EF0E379" w:rsidR="001E3F92" w:rsidRPr="008074B4" w:rsidRDefault="001E3F92" w:rsidP="0044665E">
            <w:pPr>
              <w:pStyle w:val="TableParagraph"/>
              <w:rPr>
                <w:bCs/>
                <w:lang w:val="en-GB"/>
              </w:rPr>
            </w:pPr>
            <w:r w:rsidRPr="008074B4">
              <w:rPr>
                <w:bCs/>
                <w:lang w:val="en-GB"/>
              </w:rPr>
              <w:t xml:space="preserve">D Mackenzie commended the </w:t>
            </w:r>
            <w:r w:rsidR="008236A0">
              <w:rPr>
                <w:bCs/>
                <w:lang w:val="en-GB"/>
              </w:rPr>
              <w:t>presentation and detailed information provided</w:t>
            </w:r>
            <w:r w:rsidR="001D300E">
              <w:rPr>
                <w:bCs/>
                <w:lang w:val="en-GB"/>
              </w:rPr>
              <w:t xml:space="preserve"> and noted that he felt that it was an </w:t>
            </w:r>
            <w:r w:rsidRPr="008074B4">
              <w:rPr>
                <w:bCs/>
                <w:lang w:val="en-GB"/>
              </w:rPr>
              <w:t>inspiring piece of work. He</w:t>
            </w:r>
            <w:r w:rsidR="001D300E">
              <w:rPr>
                <w:bCs/>
                <w:lang w:val="en-GB"/>
              </w:rPr>
              <w:t xml:space="preserve"> asked if </w:t>
            </w:r>
            <w:r w:rsidRPr="008074B4">
              <w:rPr>
                <w:bCs/>
                <w:lang w:val="en-GB"/>
              </w:rPr>
              <w:t>concerns about funding</w:t>
            </w:r>
            <w:r w:rsidR="001D300E">
              <w:rPr>
                <w:bCs/>
                <w:lang w:val="en-GB"/>
              </w:rPr>
              <w:t xml:space="preserve"> were likely to impact on</w:t>
            </w:r>
            <w:r w:rsidRPr="008074B4">
              <w:rPr>
                <w:bCs/>
                <w:lang w:val="en-GB"/>
              </w:rPr>
              <w:t xml:space="preserve"> activities. </w:t>
            </w:r>
          </w:p>
          <w:p w14:paraId="54FDFF57" w14:textId="77777777" w:rsidR="001E3F92" w:rsidRPr="008074B4" w:rsidRDefault="001E3F92" w:rsidP="0044665E">
            <w:pPr>
              <w:pStyle w:val="TableParagraph"/>
              <w:rPr>
                <w:bCs/>
                <w:lang w:val="en-GB"/>
              </w:rPr>
            </w:pPr>
          </w:p>
          <w:p w14:paraId="4E8E2213" w14:textId="3FE91CEF" w:rsidR="001E3F92" w:rsidRPr="008074B4" w:rsidRDefault="001E3F92" w:rsidP="0044665E">
            <w:pPr>
              <w:pStyle w:val="TableParagraph"/>
              <w:rPr>
                <w:bCs/>
                <w:lang w:val="en-GB"/>
              </w:rPr>
            </w:pPr>
            <w:r w:rsidRPr="008074B4">
              <w:rPr>
                <w:bCs/>
                <w:lang w:val="en-GB"/>
              </w:rPr>
              <w:t>C Calder acknowledged that funding ha</w:t>
            </w:r>
            <w:r w:rsidR="001D300E">
              <w:rPr>
                <w:bCs/>
                <w:lang w:val="en-GB"/>
              </w:rPr>
              <w:t xml:space="preserve">d </w:t>
            </w:r>
            <w:r w:rsidRPr="008074B4">
              <w:rPr>
                <w:bCs/>
                <w:lang w:val="en-GB"/>
              </w:rPr>
              <w:t xml:space="preserve">posed some challenges, although marginally. However, she noted that everyone was aware of the funding situation with staff actively seeking alternatives to </w:t>
            </w:r>
            <w:r w:rsidR="001D300E">
              <w:rPr>
                <w:bCs/>
                <w:lang w:val="en-GB"/>
              </w:rPr>
              <w:t>minimise additional costs</w:t>
            </w:r>
            <w:r w:rsidRPr="008074B4">
              <w:rPr>
                <w:bCs/>
                <w:lang w:val="en-GB"/>
              </w:rPr>
              <w:t>. J Roscoe highlighted ongoing efforts to explore skills and knowledge sharing</w:t>
            </w:r>
            <w:r w:rsidR="008E089C">
              <w:rPr>
                <w:bCs/>
                <w:lang w:val="en-GB"/>
              </w:rPr>
              <w:t xml:space="preserve"> within and out with the college</w:t>
            </w:r>
            <w:r w:rsidRPr="008074B4">
              <w:rPr>
                <w:bCs/>
                <w:lang w:val="en-GB"/>
              </w:rPr>
              <w:t xml:space="preserve"> </w:t>
            </w:r>
            <w:r w:rsidR="008E089C">
              <w:rPr>
                <w:bCs/>
                <w:lang w:val="en-GB"/>
              </w:rPr>
              <w:t>to add value at minimal cost</w:t>
            </w:r>
            <w:r w:rsidRPr="008074B4">
              <w:rPr>
                <w:bCs/>
                <w:lang w:val="en-GB"/>
              </w:rPr>
              <w:t xml:space="preserve">. </w:t>
            </w:r>
          </w:p>
          <w:p w14:paraId="194367CD" w14:textId="77777777" w:rsidR="001E3F92" w:rsidRPr="008074B4" w:rsidRDefault="001E3F92" w:rsidP="0044665E">
            <w:pPr>
              <w:pStyle w:val="TableParagraph"/>
              <w:rPr>
                <w:bCs/>
                <w:lang w:val="en-GB"/>
              </w:rPr>
            </w:pPr>
          </w:p>
          <w:p w14:paraId="19A80ED0" w14:textId="57C5C2A5" w:rsidR="001E3F92" w:rsidRPr="008074B4" w:rsidRDefault="001E3F92" w:rsidP="00305A32">
            <w:pPr>
              <w:pStyle w:val="TableParagraph"/>
              <w:rPr>
                <w:bCs/>
                <w:lang w:val="en-GB"/>
              </w:rPr>
            </w:pPr>
            <w:r w:rsidRPr="008074B4">
              <w:rPr>
                <w:bCs/>
                <w:lang w:val="en-GB"/>
              </w:rPr>
              <w:t xml:space="preserve">D Rosie enquired about the involvement of industry within the </w:t>
            </w:r>
            <w:r w:rsidR="008E089C">
              <w:rPr>
                <w:bCs/>
                <w:lang w:val="en-GB"/>
              </w:rPr>
              <w:t>d</w:t>
            </w:r>
            <w:r w:rsidRPr="008074B4">
              <w:rPr>
                <w:bCs/>
                <w:lang w:val="en-GB"/>
              </w:rPr>
              <w:t xml:space="preserve">evelopment </w:t>
            </w:r>
            <w:r w:rsidR="008E089C">
              <w:rPr>
                <w:bCs/>
                <w:lang w:val="en-GB"/>
              </w:rPr>
              <w:t xml:space="preserve">programme and delivery across the college. </w:t>
            </w:r>
            <w:r w:rsidRPr="008074B4">
              <w:rPr>
                <w:bCs/>
                <w:lang w:val="en-GB"/>
              </w:rPr>
              <w:t xml:space="preserve">C Calder explained that </w:t>
            </w:r>
            <w:r w:rsidR="008E089C">
              <w:rPr>
                <w:bCs/>
                <w:lang w:val="en-GB"/>
              </w:rPr>
              <w:t>d</w:t>
            </w:r>
            <w:r w:rsidRPr="008074B4">
              <w:rPr>
                <w:bCs/>
                <w:lang w:val="en-GB"/>
              </w:rPr>
              <w:t>evelopment days primarily focus</w:t>
            </w:r>
            <w:r w:rsidR="008E089C">
              <w:rPr>
                <w:bCs/>
                <w:lang w:val="en-GB"/>
              </w:rPr>
              <w:t>ed</w:t>
            </w:r>
            <w:r w:rsidRPr="008074B4">
              <w:rPr>
                <w:bCs/>
                <w:lang w:val="en-GB"/>
              </w:rPr>
              <w:t xml:space="preserve"> on the skill aspect. J Grace added that there is an ongoing integration with industry </w:t>
            </w:r>
            <w:r w:rsidR="008E089C">
              <w:rPr>
                <w:bCs/>
                <w:lang w:val="en-GB"/>
              </w:rPr>
              <w:t>including active stakeholder</w:t>
            </w:r>
            <w:r w:rsidR="00F20304">
              <w:rPr>
                <w:bCs/>
                <w:lang w:val="en-GB"/>
              </w:rPr>
              <w:t xml:space="preserve"> advisory groups that</w:t>
            </w:r>
            <w:r w:rsidRPr="008074B4">
              <w:rPr>
                <w:bCs/>
                <w:lang w:val="en-GB"/>
              </w:rPr>
              <w:t xml:space="preserve"> contribute to the </w:t>
            </w:r>
            <w:r w:rsidR="00F20304">
              <w:rPr>
                <w:bCs/>
                <w:lang w:val="en-GB"/>
              </w:rPr>
              <w:t xml:space="preserve">development and delivery of the </w:t>
            </w:r>
            <w:r w:rsidRPr="008074B4">
              <w:rPr>
                <w:bCs/>
                <w:lang w:val="en-GB"/>
              </w:rPr>
              <w:t xml:space="preserve">curriculum, fostering strong relationships between the </w:t>
            </w:r>
            <w:r w:rsidR="00F20304">
              <w:rPr>
                <w:bCs/>
                <w:lang w:val="en-GB"/>
              </w:rPr>
              <w:t>college</w:t>
            </w:r>
            <w:r w:rsidRPr="008074B4">
              <w:rPr>
                <w:bCs/>
                <w:lang w:val="en-GB"/>
              </w:rPr>
              <w:t xml:space="preserve"> and industry partners. J Grace emphasised that every department maintain </w:t>
            </w:r>
            <w:r w:rsidR="0088748E">
              <w:rPr>
                <w:bCs/>
                <w:lang w:val="en-GB"/>
              </w:rPr>
              <w:t xml:space="preserve">close </w:t>
            </w:r>
            <w:r w:rsidRPr="008074B4">
              <w:rPr>
                <w:bCs/>
                <w:lang w:val="en-GB"/>
              </w:rPr>
              <w:t xml:space="preserve">links with </w:t>
            </w:r>
            <w:r w:rsidR="0088748E">
              <w:rPr>
                <w:bCs/>
                <w:lang w:val="en-GB"/>
              </w:rPr>
              <w:t>i</w:t>
            </w:r>
            <w:r w:rsidRPr="008074B4">
              <w:rPr>
                <w:bCs/>
                <w:lang w:val="en-GB"/>
              </w:rPr>
              <w:t xml:space="preserve">ndustry to promote </w:t>
            </w:r>
            <w:r w:rsidR="0088748E">
              <w:rPr>
                <w:bCs/>
                <w:lang w:val="en-GB"/>
              </w:rPr>
              <w:t>employment and ensure that what we deliver remains relevant.</w:t>
            </w:r>
            <w:r w:rsidRPr="008074B4">
              <w:rPr>
                <w:bCs/>
                <w:lang w:val="en-GB"/>
              </w:rPr>
              <w:t xml:space="preserve"> </w:t>
            </w:r>
          </w:p>
          <w:p w14:paraId="76A494EC" w14:textId="49B89571" w:rsidR="001E3F92" w:rsidRPr="008074B4" w:rsidRDefault="001E3F92" w:rsidP="00042B25">
            <w:pPr>
              <w:pStyle w:val="TableParagraph"/>
              <w:rPr>
                <w:b/>
                <w:lang w:val="en-GB"/>
              </w:rPr>
            </w:pPr>
            <w:r w:rsidRPr="008074B4">
              <w:rPr>
                <w:b/>
                <w:lang w:val="en-GB"/>
              </w:rPr>
              <w:t xml:space="preserve"> </w:t>
            </w:r>
          </w:p>
          <w:p w14:paraId="61499B22" w14:textId="21353B44" w:rsidR="001E3F92" w:rsidRPr="008074B4" w:rsidRDefault="001E3F92" w:rsidP="00042B25">
            <w:pPr>
              <w:pStyle w:val="TableParagraph"/>
              <w:rPr>
                <w:b/>
                <w:lang w:val="en-GB"/>
              </w:rPr>
            </w:pPr>
            <w:r w:rsidRPr="008074B4">
              <w:rPr>
                <w:bCs/>
                <w:lang w:val="en-GB"/>
              </w:rPr>
              <w:t xml:space="preserve">D Mackenzie thanked C Calder and J Roscoe for their contribution. </w:t>
            </w:r>
          </w:p>
          <w:p w14:paraId="2FB9DD09" w14:textId="77777777" w:rsidR="001E3F92" w:rsidRPr="008074B4" w:rsidRDefault="001E3F92" w:rsidP="00042B25">
            <w:pPr>
              <w:pStyle w:val="TableParagraph"/>
              <w:rPr>
                <w:b/>
                <w:lang w:val="en-GB"/>
              </w:rPr>
            </w:pPr>
          </w:p>
        </w:tc>
      </w:tr>
      <w:tr w:rsidR="001E3F92" w:rsidRPr="008074B4" w14:paraId="114A0675" w14:textId="77777777" w:rsidTr="00781ACC">
        <w:trPr>
          <w:trHeight w:val="505"/>
        </w:trPr>
        <w:tc>
          <w:tcPr>
            <w:tcW w:w="426" w:type="dxa"/>
          </w:tcPr>
          <w:p w14:paraId="6E899B89"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3020D061" w14:textId="77F4AA68" w:rsidR="001E3F92" w:rsidRPr="008074B4" w:rsidRDefault="001E3F92" w:rsidP="00042B25">
            <w:pPr>
              <w:pStyle w:val="TableParagraph"/>
              <w:rPr>
                <w:b/>
                <w:lang w:val="en-GB"/>
              </w:rPr>
            </w:pPr>
            <w:r w:rsidRPr="008074B4">
              <w:rPr>
                <w:b/>
                <w:lang w:val="en-GB"/>
              </w:rPr>
              <w:t>NATIONAL BARGAINING</w:t>
            </w:r>
            <w:r w:rsidR="0088748E">
              <w:rPr>
                <w:b/>
                <w:lang w:val="en-GB"/>
              </w:rPr>
              <w:t xml:space="preserve"> UPDATE</w:t>
            </w:r>
          </w:p>
          <w:p w14:paraId="1C6BB183" w14:textId="77777777" w:rsidR="001E3F92" w:rsidRPr="008074B4" w:rsidRDefault="001E3F92" w:rsidP="00042B25">
            <w:pPr>
              <w:pStyle w:val="TableParagraph"/>
              <w:rPr>
                <w:b/>
                <w:lang w:val="en-GB"/>
              </w:rPr>
            </w:pPr>
          </w:p>
          <w:p w14:paraId="2B59EF95" w14:textId="1075F692" w:rsidR="001E3F92" w:rsidRPr="008074B4" w:rsidRDefault="001E3F92" w:rsidP="00042B25">
            <w:pPr>
              <w:pStyle w:val="TableParagraph"/>
              <w:rPr>
                <w:bCs/>
                <w:lang w:val="en-GB"/>
              </w:rPr>
            </w:pPr>
            <w:r w:rsidRPr="008074B4">
              <w:rPr>
                <w:bCs/>
                <w:lang w:val="en-GB"/>
              </w:rPr>
              <w:t>S Taylor highlighted this report</w:t>
            </w:r>
            <w:r w:rsidR="005B2EEC">
              <w:rPr>
                <w:bCs/>
                <w:lang w:val="en-GB"/>
              </w:rPr>
              <w:t>, noting that</w:t>
            </w:r>
            <w:r w:rsidR="009E2BE4">
              <w:rPr>
                <w:bCs/>
                <w:lang w:val="en-GB"/>
              </w:rPr>
              <w:t xml:space="preserve"> d</w:t>
            </w:r>
            <w:r w:rsidRPr="008074B4">
              <w:rPr>
                <w:bCs/>
                <w:lang w:val="en-GB"/>
              </w:rPr>
              <w:t>espite on-going national discussions, no settlements have yet been reached.</w:t>
            </w:r>
          </w:p>
          <w:p w14:paraId="6F0B997C" w14:textId="77777777" w:rsidR="001E3F92" w:rsidRPr="008074B4" w:rsidRDefault="001E3F92" w:rsidP="00042B25">
            <w:pPr>
              <w:pStyle w:val="TableParagraph"/>
              <w:rPr>
                <w:b/>
                <w:lang w:val="en-GB"/>
              </w:rPr>
            </w:pPr>
          </w:p>
          <w:p w14:paraId="140D3E6D" w14:textId="77777777" w:rsidR="00403FBD" w:rsidRDefault="001E3F92" w:rsidP="00403FBD">
            <w:pPr>
              <w:pStyle w:val="TableParagraph"/>
              <w:rPr>
                <w:lang w:val="en-GB"/>
              </w:rPr>
            </w:pPr>
            <w:r w:rsidRPr="008074B4">
              <w:rPr>
                <w:lang w:val="en-GB"/>
              </w:rPr>
              <w:t xml:space="preserve">Notification of planned action consisting of a ‘work to rule’ and action to withhold student results has been announced </w:t>
            </w:r>
            <w:r w:rsidR="009E2BE4">
              <w:rPr>
                <w:lang w:val="en-GB"/>
              </w:rPr>
              <w:t xml:space="preserve">by EIS/FELA </w:t>
            </w:r>
            <w:r w:rsidRPr="008074B4">
              <w:rPr>
                <w:lang w:val="en-GB"/>
              </w:rPr>
              <w:t>from 12 February 2024</w:t>
            </w:r>
            <w:r w:rsidR="00403FBD">
              <w:rPr>
                <w:lang w:val="en-GB"/>
              </w:rPr>
              <w:t xml:space="preserve"> and n</w:t>
            </w:r>
            <w:r w:rsidRPr="008074B4">
              <w:rPr>
                <w:lang w:val="en-GB"/>
              </w:rPr>
              <w:t>ational strike action by academic staff has been confirmed, with a national strike day scheduled for Thursday 29 February.</w:t>
            </w:r>
            <w:r w:rsidR="00403FBD">
              <w:rPr>
                <w:lang w:val="en-GB"/>
              </w:rPr>
              <w:t xml:space="preserve"> </w:t>
            </w:r>
            <w:r w:rsidR="00403FBD">
              <w:rPr>
                <w:lang w:val="en-GB"/>
              </w:rPr>
              <w:t>Unison had advised that they would also be taking part in national strike action on 29 February 2024.</w:t>
            </w:r>
          </w:p>
          <w:p w14:paraId="7AE19B43" w14:textId="3560C360" w:rsidR="001E3F92" w:rsidRPr="008074B4" w:rsidRDefault="001E3F92" w:rsidP="00042B25">
            <w:pPr>
              <w:pStyle w:val="TableParagraph"/>
              <w:rPr>
                <w:lang w:val="en-GB"/>
              </w:rPr>
            </w:pPr>
            <w:r w:rsidRPr="008074B4">
              <w:rPr>
                <w:lang w:val="en-GB"/>
              </w:rPr>
              <w:t xml:space="preserve">Further strike days are also anticipated, although the college will remain open on the strike days and steps taken to minimize disruption to learning. </w:t>
            </w:r>
          </w:p>
          <w:p w14:paraId="2A71F719" w14:textId="5665963E" w:rsidR="001E3F92" w:rsidRPr="008074B4" w:rsidRDefault="001E3F92" w:rsidP="00E0229C">
            <w:pPr>
              <w:pStyle w:val="TableParagraph"/>
              <w:rPr>
                <w:b/>
                <w:lang w:val="en-GB"/>
              </w:rPr>
            </w:pPr>
          </w:p>
          <w:p w14:paraId="42FBFBBC" w14:textId="77777777" w:rsidR="009221D5" w:rsidRDefault="001E3F92" w:rsidP="00042B25">
            <w:pPr>
              <w:pStyle w:val="TableParagraph"/>
              <w:rPr>
                <w:bCs/>
                <w:lang w:val="en-GB"/>
              </w:rPr>
            </w:pPr>
            <w:r w:rsidRPr="008074B4">
              <w:rPr>
                <w:bCs/>
                <w:lang w:val="en-GB"/>
              </w:rPr>
              <w:t xml:space="preserve">B Lawrie </w:t>
            </w:r>
            <w:r w:rsidR="00C24A5E">
              <w:rPr>
                <w:bCs/>
                <w:lang w:val="en-GB"/>
              </w:rPr>
              <w:t>noted the relatively low engagement with the</w:t>
            </w:r>
            <w:r w:rsidR="00BB7AC7">
              <w:rPr>
                <w:bCs/>
                <w:lang w:val="en-GB"/>
              </w:rPr>
              <w:t xml:space="preserve"> action of student resulting, but noted concern at the possible impact this could have</w:t>
            </w:r>
            <w:r w:rsidR="00B9257F">
              <w:rPr>
                <w:bCs/>
                <w:lang w:val="en-GB"/>
              </w:rPr>
              <w:t xml:space="preserve">, and the potential for this to escalate. </w:t>
            </w:r>
            <w:r w:rsidRPr="008074B4">
              <w:rPr>
                <w:bCs/>
                <w:lang w:val="en-GB"/>
              </w:rPr>
              <w:t>S Taylor emphasised the importance of aligning with any national position from the employer’s perspective. He noted that although only a small number of individuals were actively engaged in this</w:t>
            </w:r>
            <w:r w:rsidR="00B9257F">
              <w:rPr>
                <w:bCs/>
                <w:lang w:val="en-GB"/>
              </w:rPr>
              <w:t xml:space="preserve"> action previously</w:t>
            </w:r>
            <w:r w:rsidR="009221D5">
              <w:rPr>
                <w:bCs/>
                <w:lang w:val="en-GB"/>
              </w:rPr>
              <w:t>, although recognised that the impact on students and the reputation of the college sector could be significant.</w:t>
            </w:r>
          </w:p>
          <w:p w14:paraId="774E56ED" w14:textId="77777777" w:rsidR="008D4CBB" w:rsidRDefault="008D4CBB" w:rsidP="00042B25">
            <w:pPr>
              <w:pStyle w:val="TableParagraph"/>
              <w:rPr>
                <w:bCs/>
                <w:lang w:val="en-GB"/>
              </w:rPr>
            </w:pPr>
          </w:p>
          <w:p w14:paraId="5AC8BBB9" w14:textId="40F42E0F" w:rsidR="008D4CBB" w:rsidRDefault="008D4CBB" w:rsidP="00042B25">
            <w:pPr>
              <w:pStyle w:val="TableParagraph"/>
              <w:rPr>
                <w:bCs/>
                <w:lang w:val="en-GB"/>
              </w:rPr>
            </w:pPr>
            <w:r>
              <w:rPr>
                <w:bCs/>
                <w:lang w:val="en-GB"/>
              </w:rPr>
              <w:t xml:space="preserve">D Smith noted that the prevalent feeling amongst staff was a desire to reach a settlement and </w:t>
            </w:r>
            <w:r w:rsidR="00D01B7C">
              <w:rPr>
                <w:bCs/>
                <w:lang w:val="en-GB"/>
              </w:rPr>
              <w:t>expressed the hope that there could be movement on all sides that would allow this to take place.</w:t>
            </w:r>
            <w:r w:rsidR="00EE1E20">
              <w:rPr>
                <w:bCs/>
                <w:lang w:val="en-GB"/>
              </w:rPr>
              <w:t xml:space="preserve">  S Taylor noted that this was also what he was hearing from staff.</w:t>
            </w:r>
          </w:p>
          <w:p w14:paraId="7551EDE4" w14:textId="77777777" w:rsidR="009221D5" w:rsidRDefault="009221D5" w:rsidP="00042B25">
            <w:pPr>
              <w:pStyle w:val="TableParagraph"/>
              <w:rPr>
                <w:bCs/>
                <w:lang w:val="en-GB"/>
              </w:rPr>
            </w:pPr>
          </w:p>
          <w:p w14:paraId="02B3997E" w14:textId="222D3ED4" w:rsidR="001E3F92" w:rsidRPr="008074B4" w:rsidRDefault="001E3F92" w:rsidP="00710348">
            <w:pPr>
              <w:pStyle w:val="TableParagraph"/>
              <w:rPr>
                <w:bCs/>
                <w:lang w:val="en-GB"/>
              </w:rPr>
            </w:pPr>
            <w:r w:rsidRPr="008074B4">
              <w:rPr>
                <w:bCs/>
                <w:lang w:val="en-GB"/>
              </w:rPr>
              <w:t>S Taylor highlighted the National Job Evaluation</w:t>
            </w:r>
            <w:r w:rsidR="008D4CBB">
              <w:rPr>
                <w:bCs/>
                <w:lang w:val="en-GB"/>
              </w:rPr>
              <w:t xml:space="preserve"> project</w:t>
            </w:r>
            <w:r w:rsidRPr="008074B4">
              <w:rPr>
                <w:bCs/>
                <w:lang w:val="en-GB"/>
              </w:rPr>
              <w:t xml:space="preserve">, with work continuing to progress slowly. </w:t>
            </w:r>
          </w:p>
          <w:p w14:paraId="664F4EE0" w14:textId="0AE2BDA6" w:rsidR="001E3F92" w:rsidRPr="008074B4" w:rsidRDefault="001E3F92" w:rsidP="00042B25">
            <w:pPr>
              <w:pStyle w:val="TableParagraph"/>
              <w:rPr>
                <w:b/>
                <w:lang w:val="en-GB"/>
              </w:rPr>
            </w:pPr>
            <w:r w:rsidRPr="008074B4">
              <w:rPr>
                <w:b/>
                <w:lang w:val="en-GB"/>
              </w:rPr>
              <w:t xml:space="preserve"> </w:t>
            </w:r>
          </w:p>
          <w:p w14:paraId="4BB8FFF0" w14:textId="498F72F0" w:rsidR="001E3F92" w:rsidRPr="008074B4" w:rsidRDefault="001E3F92" w:rsidP="00CD0FD5">
            <w:pPr>
              <w:pStyle w:val="TableParagraph"/>
              <w:rPr>
                <w:bCs/>
                <w:lang w:val="en-GB"/>
              </w:rPr>
            </w:pPr>
            <w:r w:rsidRPr="008074B4">
              <w:rPr>
                <w:bCs/>
                <w:lang w:val="en-GB"/>
              </w:rPr>
              <w:t xml:space="preserve">S Taylor noted that National Policy discussions were ongoing. These policies have proven to be challenging with only </w:t>
            </w:r>
            <w:r w:rsidR="008D4CBB">
              <w:rPr>
                <w:bCs/>
                <w:lang w:val="en-GB"/>
              </w:rPr>
              <w:t xml:space="preserve">two </w:t>
            </w:r>
            <w:r w:rsidRPr="008074B4">
              <w:rPr>
                <w:bCs/>
                <w:lang w:val="en-GB"/>
              </w:rPr>
              <w:t>polic</w:t>
            </w:r>
            <w:r w:rsidR="008D4CBB">
              <w:rPr>
                <w:bCs/>
                <w:lang w:val="en-GB"/>
              </w:rPr>
              <w:t>ies having been agreed –</w:t>
            </w:r>
            <w:r w:rsidRPr="008074B4">
              <w:rPr>
                <w:bCs/>
                <w:lang w:val="en-GB"/>
              </w:rPr>
              <w:t xml:space="preserve"> </w:t>
            </w:r>
            <w:r w:rsidR="008D4CBB">
              <w:rPr>
                <w:bCs/>
                <w:lang w:val="en-GB"/>
              </w:rPr>
              <w:t xml:space="preserve">A </w:t>
            </w:r>
            <w:r w:rsidRPr="008074B4">
              <w:rPr>
                <w:bCs/>
                <w:lang w:val="en-GB"/>
              </w:rPr>
              <w:t>National Annual Leave Policy</w:t>
            </w:r>
            <w:r w:rsidR="008D4CBB">
              <w:rPr>
                <w:bCs/>
                <w:lang w:val="en-GB"/>
              </w:rPr>
              <w:t xml:space="preserve"> and a National Menopause Policy</w:t>
            </w:r>
          </w:p>
          <w:p w14:paraId="35E567BA" w14:textId="77777777" w:rsidR="001E3F92" w:rsidRPr="008074B4" w:rsidRDefault="001E3F92" w:rsidP="00042B25">
            <w:pPr>
              <w:pStyle w:val="TableParagraph"/>
              <w:rPr>
                <w:b/>
                <w:lang w:val="en-GB"/>
              </w:rPr>
            </w:pPr>
          </w:p>
          <w:p w14:paraId="64DD7713" w14:textId="4A41167F" w:rsidR="001E3F92" w:rsidRPr="008074B4" w:rsidRDefault="001E3F92" w:rsidP="00042B25">
            <w:pPr>
              <w:pStyle w:val="TableParagraph"/>
              <w:rPr>
                <w:b/>
                <w:lang w:val="en-GB"/>
              </w:rPr>
            </w:pPr>
            <w:r w:rsidRPr="008074B4">
              <w:rPr>
                <w:bCs/>
                <w:lang w:val="en-GB"/>
              </w:rPr>
              <w:t xml:space="preserve">The </w:t>
            </w:r>
            <w:r w:rsidR="008D4CBB">
              <w:rPr>
                <w:bCs/>
                <w:lang w:val="en-GB"/>
              </w:rPr>
              <w:t>C</w:t>
            </w:r>
            <w:r w:rsidRPr="008074B4">
              <w:rPr>
                <w:bCs/>
                <w:lang w:val="en-GB"/>
              </w:rPr>
              <w:t xml:space="preserve">ommittee </w:t>
            </w:r>
            <w:r w:rsidR="008D4CBB">
              <w:rPr>
                <w:bCs/>
                <w:lang w:val="en-GB"/>
              </w:rPr>
              <w:t xml:space="preserve">noted </w:t>
            </w:r>
            <w:r w:rsidRPr="008074B4">
              <w:rPr>
                <w:bCs/>
                <w:lang w:val="en-GB"/>
              </w:rPr>
              <w:t xml:space="preserve">welcomed this report.  </w:t>
            </w:r>
          </w:p>
          <w:p w14:paraId="75E6EB95" w14:textId="77777777" w:rsidR="001E3F92" w:rsidRPr="008074B4" w:rsidRDefault="001E3F92" w:rsidP="00042B25">
            <w:pPr>
              <w:pStyle w:val="TableParagraph"/>
              <w:rPr>
                <w:b/>
                <w:lang w:val="en-GB"/>
              </w:rPr>
            </w:pPr>
          </w:p>
        </w:tc>
      </w:tr>
      <w:tr w:rsidR="001E3F92" w:rsidRPr="008074B4" w14:paraId="51364087" w14:textId="77777777" w:rsidTr="00781ACC">
        <w:trPr>
          <w:trHeight w:val="505"/>
        </w:trPr>
        <w:tc>
          <w:tcPr>
            <w:tcW w:w="426" w:type="dxa"/>
          </w:tcPr>
          <w:p w14:paraId="5FE680E8"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44369375" w14:textId="77777777" w:rsidR="001E3F92" w:rsidRPr="008074B4" w:rsidRDefault="001E3F92" w:rsidP="00042B25">
            <w:pPr>
              <w:pStyle w:val="TableParagraph"/>
              <w:rPr>
                <w:b/>
                <w:lang w:val="en-GB"/>
              </w:rPr>
            </w:pPr>
            <w:r w:rsidRPr="008074B4">
              <w:rPr>
                <w:b/>
                <w:lang w:val="en-GB"/>
              </w:rPr>
              <w:t>STRATEGIC RISK REGISTER</w:t>
            </w:r>
          </w:p>
          <w:p w14:paraId="1147B7A0" w14:textId="77777777" w:rsidR="001E3F92" w:rsidRPr="008074B4" w:rsidRDefault="001E3F92" w:rsidP="00042B25">
            <w:pPr>
              <w:pStyle w:val="TableParagraph"/>
              <w:rPr>
                <w:b/>
                <w:lang w:val="en-GB"/>
              </w:rPr>
            </w:pPr>
          </w:p>
          <w:p w14:paraId="2F4EE5A1" w14:textId="77777777" w:rsidR="001E3F92" w:rsidRPr="008074B4" w:rsidRDefault="001E3F92" w:rsidP="00A2622E">
            <w:pPr>
              <w:pStyle w:val="TableParagraph"/>
              <w:rPr>
                <w:bCs/>
                <w:lang w:val="en-GB"/>
              </w:rPr>
            </w:pPr>
            <w:r w:rsidRPr="008074B4">
              <w:rPr>
                <w:bCs/>
                <w:lang w:val="en-GB"/>
              </w:rPr>
              <w:t>S Taylor highlighted that no changes were proposed in respect of the risks allocated to the Human Resource and Development Committee.</w:t>
            </w:r>
          </w:p>
          <w:p w14:paraId="00CC2470" w14:textId="77777777" w:rsidR="001E3F92" w:rsidRPr="008074B4" w:rsidRDefault="001E3F92" w:rsidP="00A2622E">
            <w:pPr>
              <w:pStyle w:val="TableParagraph"/>
              <w:rPr>
                <w:bCs/>
                <w:lang w:val="en-GB"/>
              </w:rPr>
            </w:pPr>
          </w:p>
          <w:p w14:paraId="1A93446D" w14:textId="68F336D4" w:rsidR="001E3F92" w:rsidRPr="008074B4" w:rsidRDefault="001E3F92" w:rsidP="00A2622E">
            <w:pPr>
              <w:pStyle w:val="TableParagraph"/>
              <w:rPr>
                <w:b/>
                <w:lang w:val="en-GB"/>
              </w:rPr>
            </w:pPr>
            <w:r w:rsidRPr="008074B4">
              <w:rPr>
                <w:bCs/>
                <w:lang w:val="en-GB"/>
              </w:rPr>
              <w:t>The paper was approved.</w:t>
            </w:r>
          </w:p>
          <w:p w14:paraId="28EC2C49" w14:textId="77777777" w:rsidR="001E3F92" w:rsidRPr="008074B4" w:rsidRDefault="001E3F92" w:rsidP="00A2622E">
            <w:pPr>
              <w:pStyle w:val="TableParagraph"/>
              <w:rPr>
                <w:b/>
                <w:lang w:val="en-GB"/>
              </w:rPr>
            </w:pPr>
          </w:p>
        </w:tc>
      </w:tr>
      <w:tr w:rsidR="001E3F92" w:rsidRPr="008074B4" w14:paraId="1A564574" w14:textId="77777777" w:rsidTr="00781ACC">
        <w:trPr>
          <w:trHeight w:val="506"/>
        </w:trPr>
        <w:tc>
          <w:tcPr>
            <w:tcW w:w="426" w:type="dxa"/>
          </w:tcPr>
          <w:p w14:paraId="29565FC0"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425BB18A" w14:textId="77777777" w:rsidR="001E3F92" w:rsidRPr="008074B4" w:rsidRDefault="001E3F92" w:rsidP="00042B25">
            <w:pPr>
              <w:pStyle w:val="TableParagraph"/>
              <w:rPr>
                <w:b/>
                <w:lang w:val="en-GB"/>
              </w:rPr>
            </w:pPr>
            <w:r w:rsidRPr="008074B4">
              <w:rPr>
                <w:b/>
                <w:lang w:val="en-GB"/>
              </w:rPr>
              <w:t>HR METRICS</w:t>
            </w:r>
          </w:p>
          <w:p w14:paraId="2D0DEF4A" w14:textId="77777777" w:rsidR="001E3F92" w:rsidRPr="008074B4" w:rsidRDefault="001E3F92" w:rsidP="00042B25">
            <w:pPr>
              <w:pStyle w:val="TableParagraph"/>
              <w:rPr>
                <w:b/>
                <w:lang w:val="en-GB"/>
              </w:rPr>
            </w:pPr>
          </w:p>
          <w:p w14:paraId="7893FC42" w14:textId="19FB43DC" w:rsidR="001E3F92" w:rsidRPr="008074B4" w:rsidRDefault="001E3F92" w:rsidP="00042B25">
            <w:pPr>
              <w:pStyle w:val="TableParagraph"/>
              <w:rPr>
                <w:bCs/>
                <w:lang w:val="en-GB"/>
              </w:rPr>
            </w:pPr>
            <w:proofErr w:type="gramStart"/>
            <w:r w:rsidRPr="008074B4">
              <w:rPr>
                <w:bCs/>
                <w:lang w:val="en-GB"/>
              </w:rPr>
              <w:t>The range of HR Metrics were noted by the Committee</w:t>
            </w:r>
            <w:proofErr w:type="gramEnd"/>
            <w:r w:rsidRPr="008074B4">
              <w:rPr>
                <w:bCs/>
                <w:lang w:val="en-GB"/>
              </w:rPr>
              <w:t>.</w:t>
            </w:r>
          </w:p>
          <w:p w14:paraId="5D24AB33" w14:textId="77777777" w:rsidR="001E3F92" w:rsidRPr="008074B4" w:rsidRDefault="001E3F92" w:rsidP="00042B25">
            <w:pPr>
              <w:pStyle w:val="TableParagraph"/>
              <w:rPr>
                <w:bCs/>
                <w:lang w:val="en-GB"/>
              </w:rPr>
            </w:pPr>
          </w:p>
          <w:p w14:paraId="75DD93C5" w14:textId="77777777" w:rsidR="00F13166" w:rsidRDefault="001E3F92" w:rsidP="00042B25">
            <w:pPr>
              <w:pStyle w:val="TableParagraph"/>
              <w:rPr>
                <w:bCs/>
                <w:lang w:val="en-GB"/>
              </w:rPr>
            </w:pPr>
            <w:r w:rsidRPr="008074B4">
              <w:rPr>
                <w:bCs/>
                <w:lang w:val="en-GB"/>
              </w:rPr>
              <w:t>B Lawrie queried the reasons behind the low</w:t>
            </w:r>
            <w:r w:rsidR="004639AD">
              <w:rPr>
                <w:bCs/>
                <w:lang w:val="en-GB"/>
              </w:rPr>
              <w:t xml:space="preserve">er level of non-established staffing </w:t>
            </w:r>
            <w:r w:rsidRPr="008074B4">
              <w:rPr>
                <w:bCs/>
                <w:lang w:val="en-GB"/>
              </w:rPr>
              <w:t xml:space="preserve">shown for February. S Taylor </w:t>
            </w:r>
            <w:r w:rsidR="004639AD">
              <w:rPr>
                <w:bCs/>
                <w:lang w:val="en-GB"/>
              </w:rPr>
              <w:t>stated that this reflected the salary claims for the January period which included the Christmas break and quality week</w:t>
            </w:r>
            <w:r w:rsidR="00F13166">
              <w:rPr>
                <w:bCs/>
                <w:lang w:val="en-GB"/>
              </w:rPr>
              <w:t>.</w:t>
            </w:r>
          </w:p>
          <w:p w14:paraId="71A40105" w14:textId="77777777" w:rsidR="001E3F92" w:rsidRPr="008074B4" w:rsidRDefault="001E3F92" w:rsidP="00F13166">
            <w:pPr>
              <w:pStyle w:val="TableParagraph"/>
              <w:rPr>
                <w:b/>
                <w:lang w:val="en-GB"/>
              </w:rPr>
            </w:pPr>
          </w:p>
        </w:tc>
      </w:tr>
      <w:tr w:rsidR="001E3F92" w:rsidRPr="008074B4" w14:paraId="75C32FCB" w14:textId="77777777" w:rsidTr="00781ACC">
        <w:trPr>
          <w:trHeight w:val="506"/>
        </w:trPr>
        <w:tc>
          <w:tcPr>
            <w:tcW w:w="426" w:type="dxa"/>
          </w:tcPr>
          <w:p w14:paraId="7AB33B71" w14:textId="77777777" w:rsidR="001E3F92" w:rsidRPr="008074B4" w:rsidRDefault="001E3F92" w:rsidP="00D209BB">
            <w:pPr>
              <w:pStyle w:val="TableParagraph"/>
              <w:numPr>
                <w:ilvl w:val="0"/>
                <w:numId w:val="1"/>
              </w:numPr>
              <w:ind w:left="0" w:firstLine="0"/>
              <w:jc w:val="center"/>
              <w:rPr>
                <w:b/>
                <w:lang w:val="en-GB"/>
              </w:rPr>
            </w:pPr>
          </w:p>
        </w:tc>
        <w:tc>
          <w:tcPr>
            <w:tcW w:w="9497" w:type="dxa"/>
          </w:tcPr>
          <w:p w14:paraId="5FAC5CC4" w14:textId="36E90C68" w:rsidR="001E3F92" w:rsidRPr="008074B4" w:rsidRDefault="001E3F92" w:rsidP="00EA3376">
            <w:pPr>
              <w:pStyle w:val="TableParagraph"/>
              <w:ind w:left="61"/>
              <w:rPr>
                <w:b/>
                <w:lang w:val="en-GB"/>
              </w:rPr>
            </w:pPr>
            <w:r w:rsidRPr="008074B4">
              <w:rPr>
                <w:b/>
                <w:lang w:val="en-GB"/>
              </w:rPr>
              <w:t>MEETING MINUTES/UPDATES</w:t>
            </w:r>
          </w:p>
          <w:p w14:paraId="1CC978CA" w14:textId="77777777" w:rsidR="001E3F92" w:rsidRPr="008074B4" w:rsidRDefault="001E3F92" w:rsidP="00EA3376">
            <w:pPr>
              <w:pStyle w:val="TableParagraph"/>
              <w:ind w:left="61"/>
              <w:rPr>
                <w:b/>
                <w:lang w:val="en-GB"/>
              </w:rPr>
            </w:pPr>
          </w:p>
          <w:p w14:paraId="2D7B3E43" w14:textId="2B0DF0AF" w:rsidR="001E3F92" w:rsidRPr="008074B4" w:rsidRDefault="001E3F92" w:rsidP="00C708A5">
            <w:pPr>
              <w:pStyle w:val="TableParagraph"/>
              <w:tabs>
                <w:tab w:val="left" w:pos="508"/>
              </w:tabs>
              <w:rPr>
                <w:lang w:val="en-GB"/>
              </w:rPr>
            </w:pPr>
            <w:r w:rsidRPr="008074B4">
              <w:rPr>
                <w:lang w:val="en-GB"/>
              </w:rPr>
              <w:t>The Joint Consultative Committee (JCF) and Health, Safety and Wellbeing (HS&amp;W) minutes were noted, with no comments or queries.</w:t>
            </w:r>
          </w:p>
          <w:p w14:paraId="02036546" w14:textId="2E85A602" w:rsidR="001E3F92" w:rsidRPr="008074B4" w:rsidRDefault="001E3F92" w:rsidP="00C708A5">
            <w:pPr>
              <w:pStyle w:val="TableParagraph"/>
              <w:tabs>
                <w:tab w:val="left" w:pos="508"/>
              </w:tabs>
              <w:rPr>
                <w:b/>
                <w:lang w:val="en-GB"/>
              </w:rPr>
            </w:pPr>
          </w:p>
        </w:tc>
      </w:tr>
      <w:tr w:rsidR="0088748E" w:rsidRPr="008074B4" w14:paraId="4891A886" w14:textId="77777777" w:rsidTr="00781ACC">
        <w:trPr>
          <w:trHeight w:val="506"/>
        </w:trPr>
        <w:tc>
          <w:tcPr>
            <w:tcW w:w="426" w:type="dxa"/>
          </w:tcPr>
          <w:p w14:paraId="08577E51" w14:textId="77777777" w:rsidR="0088748E" w:rsidRPr="008074B4" w:rsidRDefault="0088748E" w:rsidP="00D209BB">
            <w:pPr>
              <w:pStyle w:val="TableParagraph"/>
              <w:numPr>
                <w:ilvl w:val="0"/>
                <w:numId w:val="1"/>
              </w:numPr>
              <w:ind w:left="0" w:firstLine="0"/>
              <w:jc w:val="center"/>
              <w:rPr>
                <w:b/>
                <w:lang w:val="en-GB"/>
              </w:rPr>
            </w:pPr>
          </w:p>
        </w:tc>
        <w:tc>
          <w:tcPr>
            <w:tcW w:w="9497" w:type="dxa"/>
          </w:tcPr>
          <w:p w14:paraId="20CF6BE9" w14:textId="77777777" w:rsidR="0088748E" w:rsidRDefault="00EC5254" w:rsidP="00EA3376">
            <w:pPr>
              <w:pStyle w:val="TableParagraph"/>
              <w:ind w:left="61"/>
              <w:rPr>
                <w:b/>
                <w:lang w:val="en-GB"/>
              </w:rPr>
            </w:pPr>
            <w:r>
              <w:rPr>
                <w:b/>
                <w:lang w:val="en-GB"/>
              </w:rPr>
              <w:t>DATE OF NEXT MEETING</w:t>
            </w:r>
          </w:p>
          <w:p w14:paraId="56AAE58B" w14:textId="77777777" w:rsidR="00EC5254" w:rsidRDefault="00EC5254" w:rsidP="00EA3376">
            <w:pPr>
              <w:pStyle w:val="TableParagraph"/>
              <w:ind w:left="61"/>
              <w:rPr>
                <w:bCs/>
                <w:lang w:val="en-GB"/>
              </w:rPr>
            </w:pPr>
          </w:p>
          <w:p w14:paraId="1F959569" w14:textId="012D8663" w:rsidR="00B23A69" w:rsidRPr="00EC5254" w:rsidRDefault="00B23A69" w:rsidP="00EA3376">
            <w:pPr>
              <w:pStyle w:val="TableParagraph"/>
              <w:ind w:left="61"/>
              <w:rPr>
                <w:bCs/>
                <w:lang w:val="en-GB"/>
              </w:rPr>
            </w:pPr>
            <w:r>
              <w:rPr>
                <w:bCs/>
                <w:lang w:val="en-GB"/>
              </w:rPr>
              <w:t>Thursday 2 May 2024, 5.00pm in A625, Kingsway Campus</w:t>
            </w:r>
          </w:p>
        </w:tc>
      </w:tr>
    </w:tbl>
    <w:p w14:paraId="43174998" w14:textId="77777777" w:rsidR="00D209BB" w:rsidRDefault="00D209BB" w:rsidP="00D209BB"/>
    <w:tbl>
      <w:tblPr>
        <w:tblpPr w:leftFromText="180" w:rightFromText="180" w:vertAnchor="text" w:tblpY="11"/>
        <w:tblW w:w="9781" w:type="dxa"/>
        <w:tblLayout w:type="fixed"/>
        <w:tblCellMar>
          <w:left w:w="0" w:type="dxa"/>
          <w:right w:w="0" w:type="dxa"/>
        </w:tblCellMar>
        <w:tblLook w:val="01E0" w:firstRow="1" w:lastRow="1" w:firstColumn="1" w:lastColumn="1" w:noHBand="0" w:noVBand="0"/>
      </w:tblPr>
      <w:tblGrid>
        <w:gridCol w:w="5954"/>
        <w:gridCol w:w="1843"/>
        <w:gridCol w:w="1984"/>
      </w:tblGrid>
      <w:tr w:rsidR="008F3D7C" w:rsidRPr="00D43501" w14:paraId="2A2E6ABA" w14:textId="77777777" w:rsidTr="00AF1E58">
        <w:trPr>
          <w:trHeight w:val="310"/>
        </w:trPr>
        <w:tc>
          <w:tcPr>
            <w:tcW w:w="5954" w:type="dxa"/>
          </w:tcPr>
          <w:p w14:paraId="5823C407" w14:textId="77777777" w:rsidR="008F3D7C" w:rsidRPr="00D43501" w:rsidRDefault="008F3D7C" w:rsidP="00AF1E58">
            <w:pPr>
              <w:pStyle w:val="TableParagraph"/>
              <w:rPr>
                <w:b/>
                <w:lang w:val="en-GB"/>
              </w:rPr>
            </w:pPr>
            <w:r w:rsidRPr="00D43501">
              <w:rPr>
                <w:b/>
                <w:u w:val="thick"/>
                <w:lang w:val="en-GB"/>
              </w:rPr>
              <w:t>Action Point Summary</w:t>
            </w:r>
          </w:p>
        </w:tc>
        <w:tc>
          <w:tcPr>
            <w:tcW w:w="1843" w:type="dxa"/>
          </w:tcPr>
          <w:p w14:paraId="6F242791" w14:textId="77777777" w:rsidR="008F3D7C" w:rsidRPr="00D43501" w:rsidRDefault="008F3D7C" w:rsidP="00AF1E58">
            <w:pPr>
              <w:pStyle w:val="TableParagraph"/>
              <w:rPr>
                <w:rFonts w:ascii="Times New Roman"/>
                <w:lang w:val="en-GB"/>
              </w:rPr>
            </w:pPr>
          </w:p>
        </w:tc>
        <w:tc>
          <w:tcPr>
            <w:tcW w:w="1984" w:type="dxa"/>
          </w:tcPr>
          <w:p w14:paraId="590EDC83" w14:textId="77777777" w:rsidR="008F3D7C" w:rsidRPr="00D43501" w:rsidRDefault="008F3D7C" w:rsidP="00AF1E58">
            <w:pPr>
              <w:pStyle w:val="TableParagraph"/>
              <w:rPr>
                <w:rFonts w:ascii="Times New Roman"/>
                <w:lang w:val="en-GB"/>
              </w:rPr>
            </w:pPr>
          </w:p>
        </w:tc>
      </w:tr>
      <w:tr w:rsidR="008F3D7C" w:rsidRPr="00D43501" w14:paraId="543905BD" w14:textId="77777777" w:rsidTr="00AF1E58">
        <w:trPr>
          <w:trHeight w:val="374"/>
        </w:trPr>
        <w:tc>
          <w:tcPr>
            <w:tcW w:w="5954" w:type="dxa"/>
          </w:tcPr>
          <w:p w14:paraId="51C132F1" w14:textId="77777777" w:rsidR="008F3D7C" w:rsidRPr="00D43501" w:rsidRDefault="008F3D7C" w:rsidP="00AF1E58">
            <w:pPr>
              <w:pStyle w:val="TableParagraph"/>
              <w:jc w:val="center"/>
              <w:rPr>
                <w:b/>
                <w:lang w:val="en-GB"/>
              </w:rPr>
            </w:pPr>
            <w:r w:rsidRPr="00D43501">
              <w:rPr>
                <w:b/>
                <w:lang w:val="en-GB"/>
              </w:rPr>
              <w:t>Action</w:t>
            </w:r>
          </w:p>
        </w:tc>
        <w:tc>
          <w:tcPr>
            <w:tcW w:w="1843" w:type="dxa"/>
          </w:tcPr>
          <w:p w14:paraId="7BCC2B6D" w14:textId="77777777" w:rsidR="008F3D7C" w:rsidRPr="00D43501" w:rsidRDefault="008F3D7C" w:rsidP="00AF1E58">
            <w:pPr>
              <w:pStyle w:val="TableParagraph"/>
              <w:jc w:val="center"/>
              <w:rPr>
                <w:b/>
                <w:lang w:val="en-GB"/>
              </w:rPr>
            </w:pPr>
            <w:r w:rsidRPr="00D43501">
              <w:rPr>
                <w:b/>
                <w:lang w:val="en-GB"/>
              </w:rPr>
              <w:t>Responsibility</w:t>
            </w:r>
          </w:p>
        </w:tc>
        <w:tc>
          <w:tcPr>
            <w:tcW w:w="1984" w:type="dxa"/>
          </w:tcPr>
          <w:p w14:paraId="62AAF9AB" w14:textId="77777777" w:rsidR="008F3D7C" w:rsidRPr="00D43501" w:rsidRDefault="008F3D7C" w:rsidP="00AF1E58">
            <w:pPr>
              <w:pStyle w:val="TableParagraph"/>
              <w:jc w:val="center"/>
              <w:rPr>
                <w:b/>
                <w:lang w:val="en-GB"/>
              </w:rPr>
            </w:pPr>
            <w:r w:rsidRPr="00D43501">
              <w:rPr>
                <w:b/>
                <w:lang w:val="en-GB"/>
              </w:rPr>
              <w:t>Date</w:t>
            </w:r>
          </w:p>
        </w:tc>
      </w:tr>
      <w:tr w:rsidR="008F3D7C" w:rsidRPr="00D43501" w14:paraId="13B41FB6" w14:textId="77777777" w:rsidTr="00AF1E58">
        <w:trPr>
          <w:trHeight w:val="374"/>
        </w:trPr>
        <w:tc>
          <w:tcPr>
            <w:tcW w:w="5954" w:type="dxa"/>
          </w:tcPr>
          <w:p w14:paraId="2A9DFDBA" w14:textId="77777777" w:rsidR="008F3D7C" w:rsidRPr="00592F9F" w:rsidRDefault="008F3D7C" w:rsidP="00AF1E58">
            <w:pPr>
              <w:pStyle w:val="TableParagraph"/>
              <w:rPr>
                <w:bCs/>
                <w:lang w:val="en-GB"/>
              </w:rPr>
            </w:pPr>
            <w:r>
              <w:rPr>
                <w:bCs/>
                <w:lang w:val="en-GB"/>
              </w:rPr>
              <w:t>No action points noted</w:t>
            </w:r>
          </w:p>
        </w:tc>
        <w:tc>
          <w:tcPr>
            <w:tcW w:w="1843" w:type="dxa"/>
          </w:tcPr>
          <w:p w14:paraId="0A1B88CA" w14:textId="77777777" w:rsidR="008F3D7C" w:rsidRPr="00592F9F" w:rsidRDefault="008F3D7C" w:rsidP="00AF1E58">
            <w:pPr>
              <w:pStyle w:val="TableParagraph"/>
              <w:rPr>
                <w:bCs/>
                <w:lang w:val="en-GB"/>
              </w:rPr>
            </w:pPr>
          </w:p>
        </w:tc>
        <w:tc>
          <w:tcPr>
            <w:tcW w:w="1984" w:type="dxa"/>
          </w:tcPr>
          <w:p w14:paraId="5D5B540B" w14:textId="77777777" w:rsidR="008F3D7C" w:rsidRPr="00592F9F" w:rsidRDefault="008F3D7C" w:rsidP="00AF1E58">
            <w:pPr>
              <w:pStyle w:val="TableParagraph"/>
              <w:jc w:val="center"/>
              <w:rPr>
                <w:bCs/>
                <w:lang w:val="en-GB"/>
              </w:rPr>
            </w:pPr>
          </w:p>
        </w:tc>
      </w:tr>
    </w:tbl>
    <w:p w14:paraId="0BF7AA5B" w14:textId="77777777" w:rsidR="00D209BB" w:rsidRDefault="00D209BB"/>
    <w:sectPr w:rsidR="00D209BB" w:rsidSect="00C77898">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04C3F"/>
    <w:multiLevelType w:val="hybridMultilevel"/>
    <w:tmpl w:val="90C445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3858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BB"/>
    <w:rsid w:val="000001D7"/>
    <w:rsid w:val="00012FF5"/>
    <w:rsid w:val="0001654F"/>
    <w:rsid w:val="0003078D"/>
    <w:rsid w:val="00030A7D"/>
    <w:rsid w:val="000363EB"/>
    <w:rsid w:val="000419E4"/>
    <w:rsid w:val="00044FF3"/>
    <w:rsid w:val="000629E7"/>
    <w:rsid w:val="000676C4"/>
    <w:rsid w:val="00073EE5"/>
    <w:rsid w:val="000749F1"/>
    <w:rsid w:val="000A4DCE"/>
    <w:rsid w:val="000B2333"/>
    <w:rsid w:val="000C78CB"/>
    <w:rsid w:val="000D2648"/>
    <w:rsid w:val="000E0FBB"/>
    <w:rsid w:val="000E447F"/>
    <w:rsid w:val="000E63D6"/>
    <w:rsid w:val="0010008F"/>
    <w:rsid w:val="00111A7D"/>
    <w:rsid w:val="001164EE"/>
    <w:rsid w:val="00117CC5"/>
    <w:rsid w:val="00126BAA"/>
    <w:rsid w:val="00126DAA"/>
    <w:rsid w:val="00131AFC"/>
    <w:rsid w:val="001326DB"/>
    <w:rsid w:val="00141F3B"/>
    <w:rsid w:val="001618DA"/>
    <w:rsid w:val="00175DBE"/>
    <w:rsid w:val="00185A6C"/>
    <w:rsid w:val="001869E9"/>
    <w:rsid w:val="001921E0"/>
    <w:rsid w:val="00197481"/>
    <w:rsid w:val="001A0843"/>
    <w:rsid w:val="001A10A0"/>
    <w:rsid w:val="001C6DB1"/>
    <w:rsid w:val="001D0308"/>
    <w:rsid w:val="001D300E"/>
    <w:rsid w:val="001E3F92"/>
    <w:rsid w:val="0020778C"/>
    <w:rsid w:val="00210659"/>
    <w:rsid w:val="00211DEB"/>
    <w:rsid w:val="002439C6"/>
    <w:rsid w:val="002478DD"/>
    <w:rsid w:val="0026088D"/>
    <w:rsid w:val="00266E58"/>
    <w:rsid w:val="0027573A"/>
    <w:rsid w:val="00280BA2"/>
    <w:rsid w:val="00287670"/>
    <w:rsid w:val="00290192"/>
    <w:rsid w:val="00295191"/>
    <w:rsid w:val="002B33E3"/>
    <w:rsid w:val="002C44F8"/>
    <w:rsid w:val="002D28DF"/>
    <w:rsid w:val="002D4E28"/>
    <w:rsid w:val="002F0C0A"/>
    <w:rsid w:val="00304D2B"/>
    <w:rsid w:val="00305A32"/>
    <w:rsid w:val="003122D6"/>
    <w:rsid w:val="00312BE6"/>
    <w:rsid w:val="0032574B"/>
    <w:rsid w:val="003344BB"/>
    <w:rsid w:val="003354EE"/>
    <w:rsid w:val="00340C3F"/>
    <w:rsid w:val="003413E6"/>
    <w:rsid w:val="00352876"/>
    <w:rsid w:val="003658A0"/>
    <w:rsid w:val="003663EF"/>
    <w:rsid w:val="00370A9F"/>
    <w:rsid w:val="003C66A4"/>
    <w:rsid w:val="003D4C66"/>
    <w:rsid w:val="003E1776"/>
    <w:rsid w:val="003E7B41"/>
    <w:rsid w:val="003E7E62"/>
    <w:rsid w:val="003F6B9B"/>
    <w:rsid w:val="00403FBD"/>
    <w:rsid w:val="0040597D"/>
    <w:rsid w:val="00413515"/>
    <w:rsid w:val="00425BCA"/>
    <w:rsid w:val="0044665E"/>
    <w:rsid w:val="00460B0B"/>
    <w:rsid w:val="004639AD"/>
    <w:rsid w:val="00467EBC"/>
    <w:rsid w:val="00476A53"/>
    <w:rsid w:val="0049655D"/>
    <w:rsid w:val="004A340B"/>
    <w:rsid w:val="004A7E70"/>
    <w:rsid w:val="004B5B1D"/>
    <w:rsid w:val="004B791E"/>
    <w:rsid w:val="004C3D55"/>
    <w:rsid w:val="004C7F0E"/>
    <w:rsid w:val="004D5FB8"/>
    <w:rsid w:val="004E4FA0"/>
    <w:rsid w:val="004F620E"/>
    <w:rsid w:val="005026E3"/>
    <w:rsid w:val="005300E6"/>
    <w:rsid w:val="005371A6"/>
    <w:rsid w:val="00541944"/>
    <w:rsid w:val="00542EE6"/>
    <w:rsid w:val="005433D9"/>
    <w:rsid w:val="00546D9C"/>
    <w:rsid w:val="00560FC7"/>
    <w:rsid w:val="00566D84"/>
    <w:rsid w:val="005917F6"/>
    <w:rsid w:val="00596389"/>
    <w:rsid w:val="005B2E35"/>
    <w:rsid w:val="005B2EEC"/>
    <w:rsid w:val="005C152E"/>
    <w:rsid w:val="005D3C48"/>
    <w:rsid w:val="005E2C2B"/>
    <w:rsid w:val="005E65A1"/>
    <w:rsid w:val="005F1192"/>
    <w:rsid w:val="005F2C9E"/>
    <w:rsid w:val="0062435E"/>
    <w:rsid w:val="00636A50"/>
    <w:rsid w:val="00640360"/>
    <w:rsid w:val="00640934"/>
    <w:rsid w:val="006465C5"/>
    <w:rsid w:val="00647B4C"/>
    <w:rsid w:val="00647EE3"/>
    <w:rsid w:val="00650C10"/>
    <w:rsid w:val="006905F4"/>
    <w:rsid w:val="006925E9"/>
    <w:rsid w:val="0069401D"/>
    <w:rsid w:val="006A2A24"/>
    <w:rsid w:val="006B2B88"/>
    <w:rsid w:val="006B4771"/>
    <w:rsid w:val="006C195C"/>
    <w:rsid w:val="006D4F59"/>
    <w:rsid w:val="006D69EC"/>
    <w:rsid w:val="00700231"/>
    <w:rsid w:val="00710348"/>
    <w:rsid w:val="007108C6"/>
    <w:rsid w:val="00712ADB"/>
    <w:rsid w:val="007268D5"/>
    <w:rsid w:val="00734BD4"/>
    <w:rsid w:val="007370A1"/>
    <w:rsid w:val="007424E0"/>
    <w:rsid w:val="00753442"/>
    <w:rsid w:val="00756CDE"/>
    <w:rsid w:val="007630FA"/>
    <w:rsid w:val="00773F06"/>
    <w:rsid w:val="00781ACC"/>
    <w:rsid w:val="007848D2"/>
    <w:rsid w:val="007A328B"/>
    <w:rsid w:val="007B16D2"/>
    <w:rsid w:val="007E6A9F"/>
    <w:rsid w:val="007F17BF"/>
    <w:rsid w:val="008038BB"/>
    <w:rsid w:val="008059AE"/>
    <w:rsid w:val="008074B4"/>
    <w:rsid w:val="00811ABE"/>
    <w:rsid w:val="008236A0"/>
    <w:rsid w:val="008244D6"/>
    <w:rsid w:val="00844214"/>
    <w:rsid w:val="00863E7B"/>
    <w:rsid w:val="008645B8"/>
    <w:rsid w:val="008833A8"/>
    <w:rsid w:val="0088748E"/>
    <w:rsid w:val="008A31F1"/>
    <w:rsid w:val="008B1E1F"/>
    <w:rsid w:val="008D0E42"/>
    <w:rsid w:val="008D4CBB"/>
    <w:rsid w:val="008E02EE"/>
    <w:rsid w:val="008E089C"/>
    <w:rsid w:val="008F3D7C"/>
    <w:rsid w:val="008F45AF"/>
    <w:rsid w:val="00900959"/>
    <w:rsid w:val="00900C12"/>
    <w:rsid w:val="00902A1F"/>
    <w:rsid w:val="009221D5"/>
    <w:rsid w:val="00923464"/>
    <w:rsid w:val="0093225F"/>
    <w:rsid w:val="009358B8"/>
    <w:rsid w:val="00970C7B"/>
    <w:rsid w:val="00970F94"/>
    <w:rsid w:val="00984BD1"/>
    <w:rsid w:val="00985AD4"/>
    <w:rsid w:val="00987251"/>
    <w:rsid w:val="009918E7"/>
    <w:rsid w:val="009943EF"/>
    <w:rsid w:val="00995876"/>
    <w:rsid w:val="009B3F8A"/>
    <w:rsid w:val="009C1F83"/>
    <w:rsid w:val="009C2269"/>
    <w:rsid w:val="009D3663"/>
    <w:rsid w:val="009D55A6"/>
    <w:rsid w:val="009E2BE4"/>
    <w:rsid w:val="009E4815"/>
    <w:rsid w:val="009F3A02"/>
    <w:rsid w:val="009F5D34"/>
    <w:rsid w:val="00A057B6"/>
    <w:rsid w:val="00A131D4"/>
    <w:rsid w:val="00A14394"/>
    <w:rsid w:val="00A14DD6"/>
    <w:rsid w:val="00A25725"/>
    <w:rsid w:val="00A2622E"/>
    <w:rsid w:val="00A311DD"/>
    <w:rsid w:val="00A3591E"/>
    <w:rsid w:val="00A436E7"/>
    <w:rsid w:val="00A4566A"/>
    <w:rsid w:val="00A45C4A"/>
    <w:rsid w:val="00A548F3"/>
    <w:rsid w:val="00A648CA"/>
    <w:rsid w:val="00A8343E"/>
    <w:rsid w:val="00AA4E26"/>
    <w:rsid w:val="00AC340E"/>
    <w:rsid w:val="00AC7485"/>
    <w:rsid w:val="00AE3141"/>
    <w:rsid w:val="00AE3D45"/>
    <w:rsid w:val="00AE4C3E"/>
    <w:rsid w:val="00AE7D21"/>
    <w:rsid w:val="00AF4133"/>
    <w:rsid w:val="00B119FF"/>
    <w:rsid w:val="00B23062"/>
    <w:rsid w:val="00B23A69"/>
    <w:rsid w:val="00B23CD9"/>
    <w:rsid w:val="00B26B87"/>
    <w:rsid w:val="00B34BC3"/>
    <w:rsid w:val="00B37BEF"/>
    <w:rsid w:val="00B43F99"/>
    <w:rsid w:val="00B53448"/>
    <w:rsid w:val="00B551B7"/>
    <w:rsid w:val="00B710D3"/>
    <w:rsid w:val="00B81380"/>
    <w:rsid w:val="00B83FE1"/>
    <w:rsid w:val="00B87D78"/>
    <w:rsid w:val="00B9257F"/>
    <w:rsid w:val="00B92A7E"/>
    <w:rsid w:val="00B961FC"/>
    <w:rsid w:val="00BA101A"/>
    <w:rsid w:val="00BA1DE4"/>
    <w:rsid w:val="00BA3193"/>
    <w:rsid w:val="00BA4C56"/>
    <w:rsid w:val="00BB4482"/>
    <w:rsid w:val="00BB6F06"/>
    <w:rsid w:val="00BB7AC7"/>
    <w:rsid w:val="00BC55A5"/>
    <w:rsid w:val="00BE617A"/>
    <w:rsid w:val="00BF6D7E"/>
    <w:rsid w:val="00C14CE5"/>
    <w:rsid w:val="00C24A5E"/>
    <w:rsid w:val="00C2748F"/>
    <w:rsid w:val="00C30CE4"/>
    <w:rsid w:val="00C429B4"/>
    <w:rsid w:val="00C42DD2"/>
    <w:rsid w:val="00C6607C"/>
    <w:rsid w:val="00C677BF"/>
    <w:rsid w:val="00C708A5"/>
    <w:rsid w:val="00C757F0"/>
    <w:rsid w:val="00C7617D"/>
    <w:rsid w:val="00C77898"/>
    <w:rsid w:val="00C80EF5"/>
    <w:rsid w:val="00C81E70"/>
    <w:rsid w:val="00C873E4"/>
    <w:rsid w:val="00C971E0"/>
    <w:rsid w:val="00CA017F"/>
    <w:rsid w:val="00CA3B0C"/>
    <w:rsid w:val="00CA6FCB"/>
    <w:rsid w:val="00CC0E4B"/>
    <w:rsid w:val="00CC1B55"/>
    <w:rsid w:val="00CD0E66"/>
    <w:rsid w:val="00CD0FD5"/>
    <w:rsid w:val="00CD3F73"/>
    <w:rsid w:val="00CD56E8"/>
    <w:rsid w:val="00CE3CF8"/>
    <w:rsid w:val="00CE3E75"/>
    <w:rsid w:val="00CE7495"/>
    <w:rsid w:val="00CF0792"/>
    <w:rsid w:val="00D00DB0"/>
    <w:rsid w:val="00D01B7C"/>
    <w:rsid w:val="00D02B39"/>
    <w:rsid w:val="00D07B77"/>
    <w:rsid w:val="00D1158C"/>
    <w:rsid w:val="00D209BB"/>
    <w:rsid w:val="00D4650C"/>
    <w:rsid w:val="00D57EF7"/>
    <w:rsid w:val="00D60420"/>
    <w:rsid w:val="00D66E80"/>
    <w:rsid w:val="00D74BE9"/>
    <w:rsid w:val="00D841C9"/>
    <w:rsid w:val="00D91542"/>
    <w:rsid w:val="00DA0360"/>
    <w:rsid w:val="00DA789D"/>
    <w:rsid w:val="00DB3358"/>
    <w:rsid w:val="00DD07A5"/>
    <w:rsid w:val="00DE6E6C"/>
    <w:rsid w:val="00E0229C"/>
    <w:rsid w:val="00E03BF7"/>
    <w:rsid w:val="00E11591"/>
    <w:rsid w:val="00E24A4F"/>
    <w:rsid w:val="00E419BC"/>
    <w:rsid w:val="00E64987"/>
    <w:rsid w:val="00E65A87"/>
    <w:rsid w:val="00E719A9"/>
    <w:rsid w:val="00E83BD3"/>
    <w:rsid w:val="00E877E9"/>
    <w:rsid w:val="00E90CA1"/>
    <w:rsid w:val="00E92910"/>
    <w:rsid w:val="00EA3376"/>
    <w:rsid w:val="00EA6754"/>
    <w:rsid w:val="00EC3267"/>
    <w:rsid w:val="00EC5254"/>
    <w:rsid w:val="00ED3890"/>
    <w:rsid w:val="00EE1E20"/>
    <w:rsid w:val="00EF00CF"/>
    <w:rsid w:val="00F1060A"/>
    <w:rsid w:val="00F13166"/>
    <w:rsid w:val="00F176C7"/>
    <w:rsid w:val="00F20304"/>
    <w:rsid w:val="00F212D4"/>
    <w:rsid w:val="00F25DE6"/>
    <w:rsid w:val="00F34629"/>
    <w:rsid w:val="00F62E2A"/>
    <w:rsid w:val="00F63908"/>
    <w:rsid w:val="00F671C7"/>
    <w:rsid w:val="00F7724B"/>
    <w:rsid w:val="00FA3D1F"/>
    <w:rsid w:val="00FA5782"/>
    <w:rsid w:val="00FB7AD3"/>
    <w:rsid w:val="00FC0933"/>
    <w:rsid w:val="00FD7BC3"/>
    <w:rsid w:val="00FD7D51"/>
    <w:rsid w:val="00FE1DE4"/>
    <w:rsid w:val="00FE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B56D"/>
  <w15:chartTrackingRefBased/>
  <w15:docId w15:val="{E2B4CE76-8988-45C8-8176-52A0B764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BB"/>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D209BB"/>
    <w:pPr>
      <w:ind w:left="112"/>
      <w:outlineLvl w:val="0"/>
    </w:pPr>
    <w:rPr>
      <w:b/>
      <w:bCs/>
      <w:sz w:val="32"/>
      <w:szCs w:val="32"/>
    </w:rPr>
  </w:style>
  <w:style w:type="paragraph" w:styleId="Heading2">
    <w:name w:val="heading 2"/>
    <w:basedOn w:val="Normal"/>
    <w:next w:val="Normal"/>
    <w:link w:val="Heading2Char"/>
    <w:uiPriority w:val="9"/>
    <w:semiHidden/>
    <w:unhideWhenUsed/>
    <w:qFormat/>
    <w:rsid w:val="00D209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9BB"/>
    <w:rPr>
      <w:rFonts w:ascii="Arial" w:eastAsia="Arial" w:hAnsi="Arial" w:cs="Arial"/>
      <w:b/>
      <w:bCs/>
      <w:kern w:val="0"/>
      <w:sz w:val="32"/>
      <w:szCs w:val="32"/>
      <w:lang w:val="en-US"/>
      <w14:ligatures w14:val="none"/>
    </w:rPr>
  </w:style>
  <w:style w:type="paragraph" w:styleId="BodyText">
    <w:name w:val="Body Text"/>
    <w:basedOn w:val="Normal"/>
    <w:link w:val="BodyTextChar"/>
    <w:uiPriority w:val="1"/>
    <w:qFormat/>
    <w:rsid w:val="00D209BB"/>
    <w:rPr>
      <w:sz w:val="28"/>
      <w:szCs w:val="28"/>
    </w:rPr>
  </w:style>
  <w:style w:type="character" w:customStyle="1" w:styleId="BodyTextChar">
    <w:name w:val="Body Text Char"/>
    <w:basedOn w:val="DefaultParagraphFont"/>
    <w:link w:val="BodyText"/>
    <w:uiPriority w:val="1"/>
    <w:rsid w:val="00D209BB"/>
    <w:rPr>
      <w:rFonts w:ascii="Arial" w:eastAsia="Arial" w:hAnsi="Arial" w:cs="Arial"/>
      <w:kern w:val="0"/>
      <w:sz w:val="28"/>
      <w:szCs w:val="28"/>
      <w:lang w:val="en-US"/>
      <w14:ligatures w14:val="none"/>
    </w:rPr>
  </w:style>
  <w:style w:type="paragraph" w:customStyle="1" w:styleId="TableParagraph">
    <w:name w:val="Table Paragraph"/>
    <w:basedOn w:val="Normal"/>
    <w:uiPriority w:val="1"/>
    <w:qFormat/>
    <w:rsid w:val="00D209BB"/>
  </w:style>
  <w:style w:type="character" w:customStyle="1" w:styleId="Heading2Char">
    <w:name w:val="Heading 2 Char"/>
    <w:basedOn w:val="DefaultParagraphFont"/>
    <w:link w:val="Heading2"/>
    <w:uiPriority w:val="9"/>
    <w:semiHidden/>
    <w:rsid w:val="00D209BB"/>
    <w:rPr>
      <w:rFonts w:asciiTheme="majorHAnsi" w:eastAsiaTheme="majorEastAsia" w:hAnsiTheme="majorHAnsi" w:cstheme="majorBidi"/>
      <w:color w:val="2F5496" w:themeColor="accent1" w:themeShade="BF"/>
      <w:kern w:val="0"/>
      <w:sz w:val="26"/>
      <w:szCs w:val="26"/>
      <w:lang w:val="en-US"/>
      <w14:ligatures w14:val="none"/>
    </w:rPr>
  </w:style>
  <w:style w:type="paragraph" w:styleId="Header">
    <w:name w:val="header"/>
    <w:basedOn w:val="Normal"/>
    <w:link w:val="HeaderChar"/>
    <w:uiPriority w:val="99"/>
    <w:unhideWhenUsed/>
    <w:rsid w:val="00EA3376"/>
    <w:pPr>
      <w:tabs>
        <w:tab w:val="center" w:pos="4513"/>
        <w:tab w:val="right" w:pos="9026"/>
      </w:tabs>
    </w:pPr>
  </w:style>
  <w:style w:type="character" w:customStyle="1" w:styleId="HeaderChar">
    <w:name w:val="Header Char"/>
    <w:basedOn w:val="DefaultParagraphFont"/>
    <w:link w:val="Header"/>
    <w:uiPriority w:val="99"/>
    <w:rsid w:val="00EA3376"/>
    <w:rPr>
      <w:rFonts w:ascii="Arial" w:eastAsia="Arial" w:hAnsi="Arial" w:cs="Arial"/>
      <w:kern w:val="0"/>
      <w:lang w:val="en-US"/>
      <w14:ligatures w14:val="none"/>
    </w:rPr>
  </w:style>
  <w:style w:type="paragraph" w:styleId="NormalWeb">
    <w:name w:val="Normal (Web)"/>
    <w:basedOn w:val="Normal"/>
    <w:uiPriority w:val="99"/>
    <w:unhideWhenUsed/>
    <w:rsid w:val="001D030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95A788-5D0C-453C-BA78-276F2B33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B7AFC-E5C5-45DC-8BDE-AC57EC0590DF}">
  <ds:schemaRefs>
    <ds:schemaRef ds:uri="http://schemas.microsoft.com/sharepoint/v3/contenttype/forms"/>
  </ds:schemaRefs>
</ds:datastoreItem>
</file>

<file path=customXml/itemProps3.xml><?xml version="1.0" encoding="utf-8"?>
<ds:datastoreItem xmlns:ds="http://schemas.openxmlformats.org/officeDocument/2006/customXml" ds:itemID="{53250FD4-E8C5-4BC9-8535-29E122896C01}">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322</cp:revision>
  <dcterms:created xsi:type="dcterms:W3CDTF">2024-02-14T09:58:00Z</dcterms:created>
  <dcterms:modified xsi:type="dcterms:W3CDTF">2024-02-22T12:56:00Z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