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A844" w14:textId="77777777" w:rsidR="00295466" w:rsidRPr="00734C2E" w:rsidRDefault="00295466" w:rsidP="00295466">
      <w:pPr>
        <w:pStyle w:val="Heading1"/>
        <w:spacing w:before="130"/>
        <w:ind w:left="0"/>
      </w:pPr>
      <w:r w:rsidRPr="00734C2E">
        <w:rPr>
          <w:noProof/>
        </w:rPr>
        <w:drawing>
          <wp:anchor distT="0" distB="0" distL="0" distR="0" simplePos="0" relativeHeight="251659264" behindDoc="0" locked="0" layoutInCell="1" allowOverlap="1" wp14:anchorId="6A33D408" wp14:editId="615A3396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C2E">
        <w:t>BOARD OF MANAGEMENT</w:t>
      </w:r>
    </w:p>
    <w:p w14:paraId="0D2D067B" w14:textId="77777777" w:rsidR="00295466" w:rsidRPr="00734C2E" w:rsidRDefault="00295466" w:rsidP="00295466">
      <w:pPr>
        <w:spacing w:before="1"/>
        <w:rPr>
          <w:rFonts w:ascii="Arial" w:hAnsi="Arial" w:cs="Arial"/>
          <w:b/>
          <w:sz w:val="32"/>
        </w:rPr>
      </w:pPr>
    </w:p>
    <w:p w14:paraId="135E64FE" w14:textId="77777777" w:rsidR="00295466" w:rsidRPr="00734C2E" w:rsidRDefault="00295466" w:rsidP="0029546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Audit and Risk</w:t>
      </w:r>
      <w:r w:rsidRPr="00734C2E">
        <w:rPr>
          <w:rFonts w:ascii="Arial" w:hAnsi="Arial" w:cs="Arial"/>
          <w:b/>
          <w:sz w:val="32"/>
        </w:rPr>
        <w:t xml:space="preserve"> Committee</w:t>
      </w:r>
    </w:p>
    <w:p w14:paraId="2755229E" w14:textId="6B347C8A" w:rsidR="00295466" w:rsidRPr="003F784C" w:rsidRDefault="00295466" w:rsidP="00295466">
      <w:pPr>
        <w:pStyle w:val="BodyText"/>
        <w:ind w:right="2835"/>
      </w:pPr>
      <w:r w:rsidRPr="003F784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79E4EC" wp14:editId="4B500CFF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75A0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Pr="003F784C">
        <w:t xml:space="preserve">Tuesday 5 March 2024 at 5.00pm Room A625, Kingsway Campus </w:t>
      </w:r>
      <w:r w:rsidR="003F784C">
        <w:t xml:space="preserve">and </w:t>
      </w:r>
      <w:r w:rsidRPr="003F784C">
        <w:t>MS Teams</w:t>
      </w:r>
    </w:p>
    <w:p w14:paraId="081DBFAC" w14:textId="77777777" w:rsidR="00295466" w:rsidRDefault="00295466" w:rsidP="00295466">
      <w:pPr>
        <w:rPr>
          <w:sz w:val="30"/>
        </w:rPr>
      </w:pPr>
    </w:p>
    <w:p w14:paraId="24D0DC72" w14:textId="4F7B1264" w:rsidR="00295466" w:rsidRPr="003F784C" w:rsidRDefault="00295466" w:rsidP="00295466">
      <w:pPr>
        <w:pStyle w:val="BodyText"/>
        <w:rPr>
          <w:sz w:val="22"/>
          <w:szCs w:val="22"/>
        </w:rPr>
      </w:pPr>
      <w:r w:rsidRPr="003F784C">
        <w:rPr>
          <w:sz w:val="22"/>
          <w:szCs w:val="22"/>
        </w:rPr>
        <w:t xml:space="preserve">Minute of the Audit &amp; Risk Committee meeting held on Tuesday 5 March 2024 at 5.00pm in Room A605 Kingsway Campus and via Microsoft Teams </w:t>
      </w:r>
    </w:p>
    <w:p w14:paraId="7BA5C06D" w14:textId="77777777" w:rsidR="00295466" w:rsidRDefault="00295466" w:rsidP="00295466">
      <w:pPr>
        <w:pStyle w:val="BodyText"/>
        <w:ind w:right="825"/>
      </w:pPr>
    </w:p>
    <w:p w14:paraId="20D40C96" w14:textId="77777777" w:rsidR="00295466" w:rsidRDefault="00295466" w:rsidP="00295466">
      <w:pPr>
        <w:pStyle w:val="BodyText"/>
        <w:spacing w:before="4"/>
        <w:rPr>
          <w:sz w:val="13"/>
        </w:rPr>
      </w:pPr>
    </w:p>
    <w:tbl>
      <w:tblPr>
        <w:tblW w:w="9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832"/>
        <w:gridCol w:w="4031"/>
      </w:tblGrid>
      <w:tr w:rsidR="00295466" w:rsidRPr="00E734F3" w14:paraId="6B1832AD" w14:textId="77777777" w:rsidTr="00872F80">
        <w:trPr>
          <w:trHeight w:val="252"/>
        </w:trPr>
        <w:tc>
          <w:tcPr>
            <w:tcW w:w="2122" w:type="dxa"/>
          </w:tcPr>
          <w:p w14:paraId="01F39B0E" w14:textId="77777777" w:rsidR="00295466" w:rsidRPr="00E734F3" w:rsidRDefault="00295466" w:rsidP="008E3451">
            <w:pPr>
              <w:pStyle w:val="TableParagraph"/>
              <w:rPr>
                <w:b/>
                <w:lang w:val="en-GB"/>
              </w:rPr>
            </w:pPr>
            <w:r w:rsidRPr="00E734F3">
              <w:rPr>
                <w:b/>
                <w:lang w:val="en-GB"/>
              </w:rPr>
              <w:t>PRESENT:</w:t>
            </w:r>
          </w:p>
        </w:tc>
        <w:tc>
          <w:tcPr>
            <w:tcW w:w="3832" w:type="dxa"/>
          </w:tcPr>
          <w:p w14:paraId="79902347" w14:textId="03BC362C" w:rsidR="00295466" w:rsidRPr="00E734F3" w:rsidRDefault="00295466" w:rsidP="008E3451">
            <w:pPr>
              <w:pStyle w:val="TableParagraph"/>
              <w:rPr>
                <w:lang w:val="en-GB"/>
              </w:rPr>
            </w:pPr>
            <w:r w:rsidRPr="00E734F3">
              <w:rPr>
                <w:lang w:val="en-GB"/>
              </w:rPr>
              <w:t>H Honeyman</w:t>
            </w:r>
            <w:r>
              <w:rPr>
                <w:lang w:val="en-GB"/>
              </w:rPr>
              <w:t xml:space="preserve"> </w:t>
            </w:r>
            <w:r w:rsidRPr="00E734F3">
              <w:rPr>
                <w:lang w:val="en-GB"/>
              </w:rPr>
              <w:t>(Chair)</w:t>
            </w:r>
          </w:p>
        </w:tc>
        <w:tc>
          <w:tcPr>
            <w:tcW w:w="4031" w:type="dxa"/>
          </w:tcPr>
          <w:p w14:paraId="29A647AB" w14:textId="3CF78FB5" w:rsidR="00295466" w:rsidRPr="00E734F3" w:rsidRDefault="003F784C" w:rsidP="008E3451">
            <w:pPr>
              <w:pStyle w:val="TableParagraph"/>
              <w:rPr>
                <w:lang w:val="en-GB"/>
              </w:rPr>
            </w:pPr>
            <w:r>
              <w:rPr>
                <w:lang w:val="en-GB"/>
              </w:rPr>
              <w:t>S Middleton</w:t>
            </w:r>
          </w:p>
        </w:tc>
      </w:tr>
    </w:tbl>
    <w:p w14:paraId="052F352F" w14:textId="77777777" w:rsidR="003F784C" w:rsidRDefault="003F784C"/>
    <w:tbl>
      <w:tblPr>
        <w:tblW w:w="9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832"/>
        <w:gridCol w:w="4031"/>
      </w:tblGrid>
      <w:tr w:rsidR="003F784C" w:rsidRPr="00E734F3" w14:paraId="1216D53A" w14:textId="77777777" w:rsidTr="00940539">
        <w:trPr>
          <w:trHeight w:val="251"/>
        </w:trPr>
        <w:tc>
          <w:tcPr>
            <w:tcW w:w="2122" w:type="dxa"/>
          </w:tcPr>
          <w:p w14:paraId="50690C74" w14:textId="77777777" w:rsidR="003F784C" w:rsidRPr="00E734F3" w:rsidRDefault="003F784C" w:rsidP="00872F80">
            <w:pPr>
              <w:pStyle w:val="TableParagraph"/>
              <w:spacing w:after="60"/>
              <w:rPr>
                <w:b/>
                <w:lang w:val="en-GB"/>
              </w:rPr>
            </w:pPr>
            <w:r w:rsidRPr="00E734F3">
              <w:rPr>
                <w:b/>
                <w:lang w:val="en-GB"/>
              </w:rPr>
              <w:t>IN ATTENDANCE:</w:t>
            </w:r>
          </w:p>
        </w:tc>
        <w:tc>
          <w:tcPr>
            <w:tcW w:w="7863" w:type="dxa"/>
            <w:gridSpan w:val="2"/>
          </w:tcPr>
          <w:p w14:paraId="14801E4B" w14:textId="1C160DE6" w:rsidR="003F784C" w:rsidRPr="00E734F3" w:rsidRDefault="003F784C" w:rsidP="00872F80">
            <w:pPr>
              <w:pStyle w:val="TableParagraph"/>
              <w:spacing w:after="60"/>
              <w:rPr>
                <w:lang w:val="en-GB"/>
              </w:rPr>
            </w:pPr>
            <w:r>
              <w:rPr>
                <w:lang w:val="en-GB"/>
              </w:rPr>
              <w:t>S Taylor (Vice Principal Support Service and Operations)</w:t>
            </w:r>
          </w:p>
        </w:tc>
      </w:tr>
      <w:tr w:rsidR="003F784C" w:rsidRPr="00E734F3" w14:paraId="68C12AA8" w14:textId="77777777" w:rsidTr="00872F80">
        <w:trPr>
          <w:trHeight w:val="251"/>
        </w:trPr>
        <w:tc>
          <w:tcPr>
            <w:tcW w:w="2122" w:type="dxa"/>
          </w:tcPr>
          <w:p w14:paraId="713937A8" w14:textId="77777777" w:rsidR="003F784C" w:rsidRPr="00E734F3" w:rsidRDefault="003F784C" w:rsidP="00872F80">
            <w:pPr>
              <w:pStyle w:val="TableParagraph"/>
              <w:spacing w:after="60"/>
              <w:rPr>
                <w:b/>
                <w:lang w:val="en-GB"/>
              </w:rPr>
            </w:pPr>
          </w:p>
        </w:tc>
        <w:tc>
          <w:tcPr>
            <w:tcW w:w="3832" w:type="dxa"/>
          </w:tcPr>
          <w:p w14:paraId="3B191B59" w14:textId="172955AF" w:rsidR="003F784C" w:rsidRDefault="003F784C" w:rsidP="00872F80">
            <w:pPr>
              <w:pStyle w:val="TableParagraph"/>
              <w:spacing w:after="60"/>
              <w:rPr>
                <w:lang w:val="en-GB"/>
              </w:rPr>
            </w:pPr>
            <w:r>
              <w:rPr>
                <w:lang w:val="en-GB"/>
              </w:rPr>
              <w:t>D Archibald (Henderson Loggie)</w:t>
            </w:r>
          </w:p>
        </w:tc>
        <w:tc>
          <w:tcPr>
            <w:tcW w:w="4031" w:type="dxa"/>
          </w:tcPr>
          <w:p w14:paraId="4D3AEDCA" w14:textId="14CCE63B" w:rsidR="003F784C" w:rsidRPr="00E734F3" w:rsidRDefault="003F784C" w:rsidP="00872F80">
            <w:pPr>
              <w:pStyle w:val="TableParagraph"/>
              <w:spacing w:after="60"/>
              <w:rPr>
                <w:lang w:val="en-GB"/>
              </w:rPr>
            </w:pPr>
            <w:r>
              <w:rPr>
                <w:lang w:val="en-GB"/>
              </w:rPr>
              <w:t>M Speight (Mazars)</w:t>
            </w:r>
          </w:p>
        </w:tc>
      </w:tr>
      <w:tr w:rsidR="00295466" w:rsidRPr="00E734F3" w14:paraId="1C6D375B" w14:textId="77777777" w:rsidTr="00872F80">
        <w:trPr>
          <w:trHeight w:val="251"/>
        </w:trPr>
        <w:tc>
          <w:tcPr>
            <w:tcW w:w="2122" w:type="dxa"/>
          </w:tcPr>
          <w:p w14:paraId="10FECB78" w14:textId="77777777" w:rsidR="00295466" w:rsidRPr="00E734F3" w:rsidRDefault="00295466" w:rsidP="00872F80">
            <w:pPr>
              <w:pStyle w:val="TableParagraph"/>
              <w:spacing w:after="6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832" w:type="dxa"/>
          </w:tcPr>
          <w:p w14:paraId="19D07351" w14:textId="405FAFAB" w:rsidR="00295466" w:rsidRPr="00E734F3" w:rsidRDefault="003F784C" w:rsidP="00872F80">
            <w:pPr>
              <w:pStyle w:val="TableParagraph"/>
              <w:spacing w:after="60"/>
              <w:rPr>
                <w:lang w:val="en-GB"/>
              </w:rPr>
            </w:pPr>
            <w:r>
              <w:rPr>
                <w:lang w:val="en-GB"/>
              </w:rPr>
              <w:t>N Anderson (Director of Finance)</w:t>
            </w:r>
          </w:p>
        </w:tc>
        <w:tc>
          <w:tcPr>
            <w:tcW w:w="4031" w:type="dxa"/>
          </w:tcPr>
          <w:p w14:paraId="6CE4B128" w14:textId="64B92F36" w:rsidR="00295466" w:rsidRPr="00E734F3" w:rsidRDefault="003F784C" w:rsidP="00872F80">
            <w:pPr>
              <w:pStyle w:val="TableParagraph"/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A Ross (Director of Infrastructure) </w:t>
            </w:r>
          </w:p>
        </w:tc>
      </w:tr>
      <w:tr w:rsidR="00295466" w:rsidRPr="00E734F3" w14:paraId="3CEF4305" w14:textId="77777777" w:rsidTr="00872F80">
        <w:trPr>
          <w:trHeight w:val="253"/>
        </w:trPr>
        <w:tc>
          <w:tcPr>
            <w:tcW w:w="2122" w:type="dxa"/>
          </w:tcPr>
          <w:p w14:paraId="24F16039" w14:textId="77777777" w:rsidR="00295466" w:rsidRPr="00E734F3" w:rsidRDefault="00295466" w:rsidP="00872F80">
            <w:pPr>
              <w:pStyle w:val="TableParagraph"/>
              <w:spacing w:after="6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832" w:type="dxa"/>
          </w:tcPr>
          <w:p w14:paraId="5B052D18" w14:textId="50FF2F4A" w:rsidR="00295466" w:rsidRPr="00E734F3" w:rsidRDefault="00295466" w:rsidP="00872F80">
            <w:pPr>
              <w:pStyle w:val="TableParagraph"/>
              <w:spacing w:after="60"/>
              <w:rPr>
                <w:lang w:val="en-GB"/>
              </w:rPr>
            </w:pPr>
            <w:r>
              <w:rPr>
                <w:lang w:val="en-GB"/>
              </w:rPr>
              <w:t>D Robertson (</w:t>
            </w:r>
            <w:r w:rsidR="00BD2F6E">
              <w:rPr>
                <w:lang w:val="en-GB"/>
              </w:rPr>
              <w:t>H</w:t>
            </w:r>
            <w:r w:rsidR="00872F80">
              <w:rPr>
                <w:lang w:val="en-GB"/>
              </w:rPr>
              <w:t>EFESTIS</w:t>
            </w:r>
          </w:p>
        </w:tc>
        <w:tc>
          <w:tcPr>
            <w:tcW w:w="4031" w:type="dxa"/>
          </w:tcPr>
          <w:p w14:paraId="709FC902" w14:textId="42688F2B" w:rsidR="00295466" w:rsidRPr="00E734F3" w:rsidRDefault="00872F80" w:rsidP="00872F80">
            <w:pPr>
              <w:pStyle w:val="TableParagraph"/>
              <w:spacing w:after="60"/>
              <w:rPr>
                <w:lang w:val="en-GB"/>
              </w:rPr>
            </w:pPr>
            <w:r>
              <w:rPr>
                <w:lang w:val="en-GB"/>
              </w:rPr>
              <w:t>P Muir, Board Administrator</w:t>
            </w:r>
          </w:p>
        </w:tc>
      </w:tr>
    </w:tbl>
    <w:p w14:paraId="06DE1FC1" w14:textId="77777777" w:rsidR="00295466" w:rsidRDefault="00295466" w:rsidP="00295466">
      <w:pPr>
        <w:spacing w:before="7"/>
        <w:rPr>
          <w:b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498"/>
      </w:tblGrid>
      <w:tr w:rsidR="00295466" w:rsidRPr="00BB5C50" w14:paraId="15EA0158" w14:textId="77777777" w:rsidTr="00872F80">
        <w:trPr>
          <w:trHeight w:val="376"/>
        </w:trPr>
        <w:tc>
          <w:tcPr>
            <w:tcW w:w="567" w:type="dxa"/>
          </w:tcPr>
          <w:p w14:paraId="1274EF08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77CA9264" w14:textId="23EABE88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>WELCOME</w:t>
            </w:r>
          </w:p>
          <w:p w14:paraId="24652E59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  <w:p w14:paraId="4D58CAA2" w14:textId="27819DF0" w:rsidR="00CD4D7B" w:rsidRPr="00BB5C50" w:rsidRDefault="00CD4D7B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H Honeyman welcomed </w:t>
            </w:r>
            <w:r w:rsidR="00BB4F84" w:rsidRPr="00BB5C50">
              <w:rPr>
                <w:bCs/>
                <w:lang w:val="en-GB"/>
              </w:rPr>
              <w:t>all members to the Audit &amp; Risk Committ</w:t>
            </w:r>
            <w:r w:rsidR="004B7D1E" w:rsidRPr="00BB5C50">
              <w:rPr>
                <w:bCs/>
                <w:lang w:val="en-GB"/>
              </w:rPr>
              <w:t>ee</w:t>
            </w:r>
            <w:r w:rsidR="00652E63" w:rsidRPr="00BB5C50">
              <w:rPr>
                <w:bCs/>
                <w:lang w:val="en-GB"/>
              </w:rPr>
              <w:t xml:space="preserve"> </w:t>
            </w:r>
            <w:r w:rsidR="00663F61" w:rsidRPr="00BB5C50">
              <w:rPr>
                <w:bCs/>
                <w:lang w:val="en-GB"/>
              </w:rPr>
              <w:t>and welcomed N</w:t>
            </w:r>
            <w:r w:rsidR="00652E63" w:rsidRPr="00BB5C50">
              <w:rPr>
                <w:bCs/>
                <w:lang w:val="en-GB"/>
              </w:rPr>
              <w:t xml:space="preserve"> Anderson and A Ross from the College along with D Robertson from HEFESTIS</w:t>
            </w:r>
            <w:r w:rsidR="004B7D1E" w:rsidRPr="00BB5C50">
              <w:rPr>
                <w:bCs/>
                <w:lang w:val="en-GB"/>
              </w:rPr>
              <w:t>.</w:t>
            </w:r>
          </w:p>
          <w:p w14:paraId="22359A49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</w:tc>
      </w:tr>
      <w:tr w:rsidR="00295466" w:rsidRPr="00BB5C50" w14:paraId="5899CEB2" w14:textId="77777777" w:rsidTr="00872F80">
        <w:trPr>
          <w:trHeight w:val="506"/>
        </w:trPr>
        <w:tc>
          <w:tcPr>
            <w:tcW w:w="567" w:type="dxa"/>
          </w:tcPr>
          <w:p w14:paraId="4D425280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0463E7EC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>APOLOGIES</w:t>
            </w:r>
          </w:p>
          <w:p w14:paraId="067E0480" w14:textId="77777777" w:rsidR="00295466" w:rsidRPr="00BB5C50" w:rsidRDefault="00295466" w:rsidP="00872F80">
            <w:pPr>
              <w:pStyle w:val="TableParagraph"/>
              <w:rPr>
                <w:bCs/>
                <w:lang w:val="en-GB"/>
              </w:rPr>
            </w:pPr>
          </w:p>
          <w:p w14:paraId="4CEA4252" w14:textId="1AD44253" w:rsidR="00295466" w:rsidRPr="00BB5C50" w:rsidRDefault="00295466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Apologies were received from R McLellan, M </w:t>
            </w:r>
            <w:r w:rsidR="004B7D1E" w:rsidRPr="00BB5C50">
              <w:rPr>
                <w:bCs/>
                <w:lang w:val="en-GB"/>
              </w:rPr>
              <w:t>Williamson,</w:t>
            </w:r>
            <w:r w:rsidR="00E96794" w:rsidRPr="00BB5C50">
              <w:rPr>
                <w:bCs/>
                <w:lang w:val="en-GB"/>
              </w:rPr>
              <w:t xml:space="preserve"> and </w:t>
            </w:r>
            <w:r w:rsidRPr="00BB5C50">
              <w:rPr>
                <w:bCs/>
                <w:lang w:val="en-GB"/>
              </w:rPr>
              <w:t>J Buchanan</w:t>
            </w:r>
            <w:r w:rsidR="00E96794" w:rsidRPr="00BB5C50">
              <w:rPr>
                <w:bCs/>
                <w:lang w:val="en-GB"/>
              </w:rPr>
              <w:t>.</w:t>
            </w:r>
          </w:p>
          <w:p w14:paraId="3D6AD89A" w14:textId="77777777" w:rsidR="00295466" w:rsidRPr="00BB5C50" w:rsidRDefault="00295466" w:rsidP="00872F80">
            <w:pPr>
              <w:pStyle w:val="TableParagraph"/>
              <w:rPr>
                <w:bCs/>
                <w:lang w:val="en-GB"/>
              </w:rPr>
            </w:pPr>
          </w:p>
        </w:tc>
      </w:tr>
      <w:tr w:rsidR="00295466" w:rsidRPr="00BB5C50" w14:paraId="260C040E" w14:textId="77777777" w:rsidTr="00872F80">
        <w:trPr>
          <w:trHeight w:val="506"/>
        </w:trPr>
        <w:tc>
          <w:tcPr>
            <w:tcW w:w="567" w:type="dxa"/>
          </w:tcPr>
          <w:p w14:paraId="1F9B5A7B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67B0A4C7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>DECLARATIONS OF CONNECTION &amp; INTEREST</w:t>
            </w:r>
          </w:p>
          <w:p w14:paraId="4285B10F" w14:textId="77777777" w:rsidR="0034539D" w:rsidRPr="00BB5C50" w:rsidRDefault="0034539D" w:rsidP="00872F80">
            <w:pPr>
              <w:pStyle w:val="TableParagraph"/>
              <w:rPr>
                <w:b/>
                <w:lang w:val="en-GB"/>
              </w:rPr>
            </w:pPr>
          </w:p>
          <w:p w14:paraId="4F036D0E" w14:textId="38A5AE70" w:rsidR="0034539D" w:rsidRPr="00BB5C50" w:rsidRDefault="0034539D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Cs/>
                <w:lang w:val="en-GB"/>
              </w:rPr>
              <w:t>There were no declarations.</w:t>
            </w:r>
          </w:p>
          <w:p w14:paraId="25EAF607" w14:textId="77777777" w:rsidR="0034539D" w:rsidRPr="00BB5C50" w:rsidRDefault="0034539D" w:rsidP="00872F80">
            <w:pPr>
              <w:pStyle w:val="TableParagraph"/>
              <w:rPr>
                <w:b/>
                <w:lang w:val="en-GB"/>
              </w:rPr>
            </w:pPr>
          </w:p>
        </w:tc>
      </w:tr>
      <w:tr w:rsidR="00295466" w:rsidRPr="00BB5C50" w14:paraId="4D584B95" w14:textId="77777777" w:rsidTr="00872F80">
        <w:trPr>
          <w:trHeight w:val="410"/>
        </w:trPr>
        <w:tc>
          <w:tcPr>
            <w:tcW w:w="567" w:type="dxa"/>
          </w:tcPr>
          <w:p w14:paraId="360445F5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5CFC9CAC" w14:textId="2346CC4C" w:rsidR="00295466" w:rsidRPr="00BB5C50" w:rsidRDefault="00295466" w:rsidP="00872F80">
            <w:pPr>
              <w:pStyle w:val="TableParagraph"/>
              <w:rPr>
                <w:lang w:val="en-GB"/>
              </w:rPr>
            </w:pPr>
            <w:r w:rsidRPr="00BB5C50">
              <w:rPr>
                <w:b/>
                <w:lang w:val="en-GB"/>
              </w:rPr>
              <w:t xml:space="preserve">MINUTE OF THE PREVIOUS A&amp;R AND JOINT A&amp;R / F&amp;P MEETINGS </w:t>
            </w:r>
            <w:r w:rsidRPr="00BB5C50">
              <w:rPr>
                <w:lang w:val="en-GB"/>
              </w:rPr>
              <w:t>– 5 December 202</w:t>
            </w:r>
            <w:r w:rsidR="00A71662" w:rsidRPr="00BB5C50">
              <w:rPr>
                <w:lang w:val="en-GB"/>
              </w:rPr>
              <w:t>3</w:t>
            </w:r>
          </w:p>
          <w:p w14:paraId="5F693FEB" w14:textId="77777777" w:rsidR="0034539D" w:rsidRPr="00BB5C50" w:rsidRDefault="0034539D" w:rsidP="00872F80">
            <w:pPr>
              <w:pStyle w:val="TableParagraph"/>
              <w:rPr>
                <w:lang w:val="en-GB"/>
              </w:rPr>
            </w:pPr>
          </w:p>
          <w:p w14:paraId="3D645FB6" w14:textId="494642DC" w:rsidR="0034539D" w:rsidRPr="00BB5C50" w:rsidRDefault="0034539D" w:rsidP="00872F80">
            <w:pPr>
              <w:pStyle w:val="TableParagraph"/>
              <w:rPr>
                <w:lang w:val="en-GB"/>
              </w:rPr>
            </w:pPr>
            <w:r w:rsidRPr="00BB5C50">
              <w:rPr>
                <w:lang w:val="en-GB"/>
              </w:rPr>
              <w:t xml:space="preserve">The minutes of the previous </w:t>
            </w:r>
            <w:r w:rsidR="00663F61" w:rsidRPr="00BB5C50">
              <w:rPr>
                <w:lang w:val="en-GB"/>
              </w:rPr>
              <w:t xml:space="preserve">Audit &amp; Risk and </w:t>
            </w:r>
            <w:r w:rsidRPr="00BB5C50">
              <w:rPr>
                <w:lang w:val="en-GB"/>
              </w:rPr>
              <w:t>Joint Audit &amp; Risk/Finance &amp; Property</w:t>
            </w:r>
            <w:r w:rsidR="00A71662" w:rsidRPr="00BB5C50">
              <w:rPr>
                <w:lang w:val="en-GB"/>
              </w:rPr>
              <w:t xml:space="preserve"> meeting</w:t>
            </w:r>
            <w:r w:rsidR="00663F61" w:rsidRPr="00BB5C50">
              <w:rPr>
                <w:lang w:val="en-GB"/>
              </w:rPr>
              <w:t>s</w:t>
            </w:r>
            <w:r w:rsidR="00A71662" w:rsidRPr="00BB5C50">
              <w:rPr>
                <w:lang w:val="en-GB"/>
              </w:rPr>
              <w:t xml:space="preserve"> on 5 December</w:t>
            </w:r>
            <w:r w:rsidR="00663F61" w:rsidRPr="00BB5C50">
              <w:rPr>
                <w:lang w:val="en-GB"/>
              </w:rPr>
              <w:t xml:space="preserve"> </w:t>
            </w:r>
            <w:r w:rsidR="00A71662" w:rsidRPr="00BB5C50">
              <w:rPr>
                <w:lang w:val="en-GB"/>
              </w:rPr>
              <w:t>2023</w:t>
            </w:r>
            <w:r w:rsidRPr="00BB5C50">
              <w:rPr>
                <w:lang w:val="en-GB"/>
              </w:rPr>
              <w:t xml:space="preserve"> were approved.</w:t>
            </w:r>
          </w:p>
          <w:p w14:paraId="62135610" w14:textId="77777777" w:rsidR="00295466" w:rsidRPr="00BB5C50" w:rsidRDefault="00295466" w:rsidP="00872F80">
            <w:pPr>
              <w:pStyle w:val="TableParagraph"/>
              <w:rPr>
                <w:lang w:val="en-GB"/>
              </w:rPr>
            </w:pPr>
          </w:p>
        </w:tc>
      </w:tr>
      <w:tr w:rsidR="00295466" w:rsidRPr="00BB5C50" w14:paraId="599B7E57" w14:textId="77777777" w:rsidTr="00872F80">
        <w:trPr>
          <w:trHeight w:val="505"/>
        </w:trPr>
        <w:tc>
          <w:tcPr>
            <w:tcW w:w="567" w:type="dxa"/>
          </w:tcPr>
          <w:p w14:paraId="4F58616E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6580ED98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>MATTERS ARISING</w:t>
            </w:r>
          </w:p>
          <w:p w14:paraId="766CD3DC" w14:textId="77777777" w:rsidR="0034539D" w:rsidRPr="00BB5C50" w:rsidRDefault="0034539D" w:rsidP="00872F80">
            <w:pPr>
              <w:pStyle w:val="TableParagraph"/>
              <w:rPr>
                <w:b/>
                <w:lang w:val="en-GB"/>
              </w:rPr>
            </w:pPr>
          </w:p>
          <w:p w14:paraId="09D98DE6" w14:textId="2BC3CFB0" w:rsidR="0034539D" w:rsidRPr="00BB5C50" w:rsidRDefault="00663F61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>All matters arising had been closed our or were included within the meeting agenda.</w:t>
            </w:r>
            <w:r w:rsidR="000E6FE9" w:rsidRPr="00BB5C50">
              <w:rPr>
                <w:bCs/>
                <w:lang w:val="en-GB"/>
              </w:rPr>
              <w:t xml:space="preserve"> </w:t>
            </w:r>
          </w:p>
          <w:p w14:paraId="0C9E8BAF" w14:textId="77777777" w:rsidR="0034539D" w:rsidRPr="00BB5C50" w:rsidRDefault="0034539D" w:rsidP="00872F80">
            <w:pPr>
              <w:pStyle w:val="TableParagraph"/>
              <w:rPr>
                <w:b/>
                <w:lang w:val="en-GB"/>
              </w:rPr>
            </w:pPr>
          </w:p>
        </w:tc>
      </w:tr>
      <w:tr w:rsidR="00295466" w:rsidRPr="00BB5C50" w14:paraId="74608667" w14:textId="77777777" w:rsidTr="00872F80">
        <w:trPr>
          <w:trHeight w:val="505"/>
        </w:trPr>
        <w:tc>
          <w:tcPr>
            <w:tcW w:w="567" w:type="dxa"/>
          </w:tcPr>
          <w:p w14:paraId="3D4AB715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765E748C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>HEFESTIS ANNUAL CYBER SECURITY RISK &amp; MATURITY REPORT</w:t>
            </w:r>
          </w:p>
          <w:p w14:paraId="2DD9C003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  <w:p w14:paraId="348F3BFE" w14:textId="77777777" w:rsidR="00B4377B" w:rsidRPr="00BB5C50" w:rsidRDefault="00C35483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D Robertson </w:t>
            </w:r>
            <w:r w:rsidR="00D832D7" w:rsidRPr="00BB5C50">
              <w:rPr>
                <w:bCs/>
                <w:lang w:val="en-GB"/>
              </w:rPr>
              <w:t>presented th</w:t>
            </w:r>
            <w:r w:rsidR="00381EB2" w:rsidRPr="00BB5C50">
              <w:rPr>
                <w:bCs/>
                <w:lang w:val="en-GB"/>
              </w:rPr>
              <w:t xml:space="preserve">e cyber security report covering the </w:t>
            </w:r>
            <w:r w:rsidR="007E22D8" w:rsidRPr="00BB5C50">
              <w:rPr>
                <w:bCs/>
                <w:lang w:val="en-GB"/>
              </w:rPr>
              <w:t xml:space="preserve">period </w:t>
            </w:r>
            <w:r w:rsidR="00381EB2" w:rsidRPr="00BB5C50">
              <w:rPr>
                <w:bCs/>
                <w:lang w:val="en-GB"/>
              </w:rPr>
              <w:t xml:space="preserve">from </w:t>
            </w:r>
            <w:r w:rsidR="007E22D8" w:rsidRPr="00BB5C50">
              <w:rPr>
                <w:bCs/>
                <w:lang w:val="en-GB"/>
              </w:rPr>
              <w:t>October 2022 to November 2023</w:t>
            </w:r>
            <w:r w:rsidR="00381EB2" w:rsidRPr="00BB5C50">
              <w:rPr>
                <w:bCs/>
                <w:lang w:val="en-GB"/>
              </w:rPr>
              <w:t>, outlining significant ad</w:t>
            </w:r>
            <w:r w:rsidR="00A91AF3" w:rsidRPr="00BB5C50">
              <w:rPr>
                <w:bCs/>
                <w:lang w:val="en-GB"/>
              </w:rPr>
              <w:t xml:space="preserve">vancements in Information and Cyber Security (ICS) </w:t>
            </w:r>
            <w:r w:rsidR="00F3301C" w:rsidRPr="00BB5C50">
              <w:rPr>
                <w:bCs/>
                <w:lang w:val="en-GB"/>
              </w:rPr>
              <w:t>M</w:t>
            </w:r>
            <w:r w:rsidR="00A91AF3" w:rsidRPr="00BB5C50">
              <w:rPr>
                <w:bCs/>
                <w:lang w:val="en-GB"/>
              </w:rPr>
              <w:t xml:space="preserve">aturity and </w:t>
            </w:r>
            <w:r w:rsidR="00F3301C" w:rsidRPr="00BB5C50">
              <w:rPr>
                <w:bCs/>
                <w:lang w:val="en-GB"/>
              </w:rPr>
              <w:t>R</w:t>
            </w:r>
            <w:r w:rsidR="00A91AF3" w:rsidRPr="00BB5C50">
              <w:rPr>
                <w:bCs/>
                <w:lang w:val="en-GB"/>
              </w:rPr>
              <w:t xml:space="preserve">isk Management at Dundee &amp; Angus College. </w:t>
            </w:r>
          </w:p>
          <w:p w14:paraId="13E3189D" w14:textId="77777777" w:rsidR="00B4377B" w:rsidRPr="00BB5C50" w:rsidRDefault="00B4377B" w:rsidP="00872F80">
            <w:pPr>
              <w:pStyle w:val="TableParagraph"/>
              <w:rPr>
                <w:bCs/>
                <w:lang w:val="en-GB"/>
              </w:rPr>
            </w:pPr>
          </w:p>
          <w:p w14:paraId="0257F343" w14:textId="77777777" w:rsidR="00BB5C50" w:rsidRDefault="00A91AF3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D Robertson highlighted the </w:t>
            </w:r>
            <w:r w:rsidR="009F1027" w:rsidRPr="00BB5C50">
              <w:rPr>
                <w:bCs/>
                <w:lang w:val="en-GB"/>
              </w:rPr>
              <w:t>substantial</w:t>
            </w:r>
            <w:r w:rsidRPr="00BB5C50">
              <w:rPr>
                <w:bCs/>
                <w:lang w:val="en-GB"/>
              </w:rPr>
              <w:t xml:space="preserve"> strengthening of the ICS Maturity and </w:t>
            </w:r>
            <w:r w:rsidR="00544CC3" w:rsidRPr="00BB5C50">
              <w:rPr>
                <w:bCs/>
                <w:lang w:val="en-GB"/>
              </w:rPr>
              <w:t>R</w:t>
            </w:r>
            <w:r w:rsidRPr="00BB5C50">
              <w:rPr>
                <w:bCs/>
                <w:lang w:val="en-GB"/>
              </w:rPr>
              <w:t xml:space="preserve">isk </w:t>
            </w:r>
            <w:r w:rsidR="00544CC3" w:rsidRPr="00BB5C50">
              <w:rPr>
                <w:bCs/>
                <w:lang w:val="en-GB"/>
              </w:rPr>
              <w:t>M</w:t>
            </w:r>
            <w:r w:rsidRPr="00BB5C50">
              <w:rPr>
                <w:bCs/>
                <w:lang w:val="en-GB"/>
              </w:rPr>
              <w:t xml:space="preserve">anagement </w:t>
            </w:r>
            <w:r w:rsidR="009F1027" w:rsidRPr="00BB5C50">
              <w:rPr>
                <w:bCs/>
                <w:lang w:val="en-GB"/>
              </w:rPr>
              <w:t>activities</w:t>
            </w:r>
            <w:r w:rsidRPr="00BB5C50">
              <w:rPr>
                <w:bCs/>
                <w:lang w:val="en-GB"/>
              </w:rPr>
              <w:t xml:space="preserve"> performed at the </w:t>
            </w:r>
            <w:r w:rsidR="00B4377B" w:rsidRPr="00BB5C50">
              <w:rPr>
                <w:bCs/>
                <w:lang w:val="en-GB"/>
              </w:rPr>
              <w:t>C</w:t>
            </w:r>
            <w:r w:rsidRPr="00BB5C50">
              <w:rPr>
                <w:bCs/>
                <w:lang w:val="en-GB"/>
              </w:rPr>
              <w:t>ollege. The report emphasi</w:t>
            </w:r>
            <w:r w:rsidR="00544CC3" w:rsidRPr="00BB5C50">
              <w:rPr>
                <w:bCs/>
                <w:lang w:val="en-GB"/>
              </w:rPr>
              <w:t>s</w:t>
            </w:r>
            <w:r w:rsidRPr="00BB5C50">
              <w:rPr>
                <w:bCs/>
                <w:lang w:val="en-GB"/>
              </w:rPr>
              <w:t xml:space="preserve">ed the dedication of staff involved in ensuring the </w:t>
            </w:r>
            <w:r w:rsidR="009F1027" w:rsidRPr="00BB5C50">
              <w:rPr>
                <w:bCs/>
                <w:lang w:val="en-GB"/>
              </w:rPr>
              <w:t>security o</w:t>
            </w:r>
            <w:r w:rsidRPr="00BB5C50">
              <w:rPr>
                <w:bCs/>
                <w:lang w:val="en-GB"/>
              </w:rPr>
              <w:t xml:space="preserve">f the </w:t>
            </w:r>
            <w:r w:rsidR="009F1027" w:rsidRPr="00BB5C50">
              <w:rPr>
                <w:bCs/>
                <w:lang w:val="en-GB"/>
              </w:rPr>
              <w:t>organisation</w:t>
            </w:r>
            <w:r w:rsidRPr="00BB5C50">
              <w:rPr>
                <w:bCs/>
                <w:lang w:val="en-GB"/>
              </w:rPr>
              <w:t xml:space="preserve"> </w:t>
            </w:r>
            <w:r w:rsidR="00C32F0A" w:rsidRPr="00BB5C50">
              <w:rPr>
                <w:bCs/>
                <w:lang w:val="en-GB"/>
              </w:rPr>
              <w:t xml:space="preserve">and the </w:t>
            </w:r>
            <w:r w:rsidR="009F1027" w:rsidRPr="00BB5C50">
              <w:rPr>
                <w:bCs/>
                <w:lang w:val="en-GB"/>
              </w:rPr>
              <w:t>enforcement</w:t>
            </w:r>
            <w:r w:rsidR="00C32F0A" w:rsidRPr="00BB5C50">
              <w:rPr>
                <w:bCs/>
                <w:lang w:val="en-GB"/>
              </w:rPr>
              <w:t xml:space="preserve"> of key performance</w:t>
            </w:r>
            <w:r w:rsidR="00BB5C50">
              <w:rPr>
                <w:bCs/>
                <w:lang w:val="en-GB"/>
              </w:rPr>
              <w:t xml:space="preserve"> steps</w:t>
            </w:r>
            <w:r w:rsidR="00C32F0A" w:rsidRPr="00BB5C50">
              <w:rPr>
                <w:bCs/>
                <w:lang w:val="en-GB"/>
              </w:rPr>
              <w:t xml:space="preserve"> to mitigate cyber security risk</w:t>
            </w:r>
            <w:r w:rsidR="00BB5C50">
              <w:rPr>
                <w:bCs/>
                <w:lang w:val="en-GB"/>
              </w:rPr>
              <w:t>s</w:t>
            </w:r>
            <w:r w:rsidR="00C32F0A" w:rsidRPr="00BB5C50">
              <w:rPr>
                <w:bCs/>
                <w:lang w:val="en-GB"/>
              </w:rPr>
              <w:t xml:space="preserve">. </w:t>
            </w:r>
          </w:p>
          <w:p w14:paraId="71319B0A" w14:textId="540FEF30" w:rsidR="00DF157C" w:rsidRPr="00BB5C50" w:rsidRDefault="00C32F0A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lastRenderedPageBreak/>
              <w:t xml:space="preserve">D Robertson also highlighted that various technical policies have been implemented to address any identified risks. He stated there were 5 </w:t>
            </w:r>
            <w:r w:rsidR="009F1027" w:rsidRPr="00BB5C50">
              <w:rPr>
                <w:bCs/>
                <w:lang w:val="en-GB"/>
              </w:rPr>
              <w:t>recommendations</w:t>
            </w:r>
            <w:r w:rsidRPr="00BB5C50">
              <w:rPr>
                <w:bCs/>
                <w:lang w:val="en-GB"/>
              </w:rPr>
              <w:t xml:space="preserve"> highlighted from the report for continued good practice</w:t>
            </w:r>
            <w:r w:rsidR="007476B4" w:rsidRPr="00BB5C50">
              <w:rPr>
                <w:bCs/>
                <w:lang w:val="en-GB"/>
              </w:rPr>
              <w:t xml:space="preserve">, </w:t>
            </w:r>
            <w:r w:rsidR="00CD758D" w:rsidRPr="00BB5C50">
              <w:rPr>
                <w:bCs/>
                <w:lang w:val="en-GB"/>
              </w:rPr>
              <w:t xml:space="preserve">in addition to </w:t>
            </w:r>
            <w:r w:rsidR="007476B4" w:rsidRPr="00BB5C50">
              <w:rPr>
                <w:bCs/>
                <w:lang w:val="en-GB"/>
              </w:rPr>
              <w:t>maint</w:t>
            </w:r>
            <w:r w:rsidR="00CD758D" w:rsidRPr="00BB5C50">
              <w:rPr>
                <w:bCs/>
                <w:lang w:val="en-GB"/>
              </w:rPr>
              <w:t xml:space="preserve">aining </w:t>
            </w:r>
            <w:r w:rsidR="007476B4" w:rsidRPr="00BB5C50">
              <w:rPr>
                <w:bCs/>
                <w:lang w:val="en-GB"/>
              </w:rPr>
              <w:t xml:space="preserve">a high </w:t>
            </w:r>
            <w:r w:rsidR="00CD758D" w:rsidRPr="00BB5C50">
              <w:rPr>
                <w:bCs/>
                <w:lang w:val="en-GB"/>
              </w:rPr>
              <w:t xml:space="preserve">level of </w:t>
            </w:r>
            <w:r w:rsidR="007476B4" w:rsidRPr="00BB5C50">
              <w:rPr>
                <w:bCs/>
                <w:lang w:val="en-GB"/>
              </w:rPr>
              <w:t>security posture, which has</w:t>
            </w:r>
            <w:r w:rsidR="00CD758D" w:rsidRPr="00BB5C50">
              <w:rPr>
                <w:bCs/>
                <w:lang w:val="en-GB"/>
              </w:rPr>
              <w:t xml:space="preserve"> since</w:t>
            </w:r>
            <w:r w:rsidR="007476B4" w:rsidRPr="00BB5C50">
              <w:rPr>
                <w:bCs/>
                <w:lang w:val="en-GB"/>
              </w:rPr>
              <w:t xml:space="preserve"> improved </w:t>
            </w:r>
            <w:r w:rsidR="00CD758D" w:rsidRPr="00BB5C50">
              <w:rPr>
                <w:bCs/>
                <w:lang w:val="en-GB"/>
              </w:rPr>
              <w:t>from the year 2022.</w:t>
            </w:r>
            <w:r w:rsidR="007476B4" w:rsidRPr="00BB5C50">
              <w:rPr>
                <w:bCs/>
                <w:lang w:val="en-GB"/>
              </w:rPr>
              <w:t xml:space="preserve"> </w:t>
            </w:r>
          </w:p>
          <w:p w14:paraId="46673C23" w14:textId="77777777" w:rsidR="007476B4" w:rsidRPr="00BB5C50" w:rsidRDefault="007476B4" w:rsidP="00872F80">
            <w:pPr>
              <w:pStyle w:val="TableParagraph"/>
              <w:rPr>
                <w:bCs/>
                <w:lang w:val="en-GB"/>
              </w:rPr>
            </w:pPr>
          </w:p>
          <w:p w14:paraId="656AAD0E" w14:textId="444F83F8" w:rsidR="007476B4" w:rsidRPr="00BB5C50" w:rsidRDefault="007476B4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Ongoing </w:t>
            </w:r>
            <w:r w:rsidR="009F1027" w:rsidRPr="00BB5C50">
              <w:rPr>
                <w:bCs/>
                <w:lang w:val="en-GB"/>
              </w:rPr>
              <w:t>discussions are</w:t>
            </w:r>
            <w:r w:rsidRPr="00BB5C50">
              <w:rPr>
                <w:bCs/>
                <w:lang w:val="en-GB"/>
              </w:rPr>
              <w:t xml:space="preserve"> taking place to further improve and maintain this high secur</w:t>
            </w:r>
            <w:r w:rsidR="000B29A4" w:rsidRPr="00BB5C50">
              <w:rPr>
                <w:bCs/>
                <w:lang w:val="en-GB"/>
              </w:rPr>
              <w:t xml:space="preserve">ity posture. </w:t>
            </w:r>
          </w:p>
          <w:p w14:paraId="3839BD53" w14:textId="4FAA2B52" w:rsidR="000B29A4" w:rsidRPr="00BB5C50" w:rsidRDefault="000B29A4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While the report was commended </w:t>
            </w:r>
            <w:r w:rsidR="009F1027" w:rsidRPr="00BB5C50">
              <w:rPr>
                <w:bCs/>
                <w:lang w:val="en-GB"/>
              </w:rPr>
              <w:t>overall</w:t>
            </w:r>
            <w:r w:rsidRPr="00BB5C50">
              <w:rPr>
                <w:bCs/>
                <w:lang w:val="en-GB"/>
              </w:rPr>
              <w:t xml:space="preserve">, minor areas for </w:t>
            </w:r>
            <w:r w:rsidR="009F1027" w:rsidRPr="00BB5C50">
              <w:rPr>
                <w:bCs/>
                <w:lang w:val="en-GB"/>
              </w:rPr>
              <w:t>improvement were</w:t>
            </w:r>
            <w:r w:rsidRPr="00BB5C50">
              <w:rPr>
                <w:bCs/>
                <w:lang w:val="en-GB"/>
              </w:rPr>
              <w:t xml:space="preserve"> identified, particularly </w:t>
            </w:r>
            <w:r w:rsidR="0087304A" w:rsidRPr="00BB5C50">
              <w:rPr>
                <w:bCs/>
                <w:lang w:val="en-GB"/>
              </w:rPr>
              <w:t xml:space="preserve">within the </w:t>
            </w:r>
            <w:r w:rsidRPr="00BB5C50">
              <w:rPr>
                <w:bCs/>
                <w:lang w:val="en-GB"/>
              </w:rPr>
              <w:t xml:space="preserve">physical security aspects such as CCTV. </w:t>
            </w:r>
          </w:p>
          <w:p w14:paraId="305813C3" w14:textId="77777777" w:rsidR="000B29A4" w:rsidRPr="00BB5C50" w:rsidRDefault="000B29A4" w:rsidP="00872F80">
            <w:pPr>
              <w:pStyle w:val="TableParagraph"/>
              <w:rPr>
                <w:bCs/>
                <w:lang w:val="en-GB"/>
              </w:rPr>
            </w:pPr>
          </w:p>
          <w:p w14:paraId="5BBE9E32" w14:textId="4DA87AD3" w:rsidR="000B29A4" w:rsidRPr="00BB5C50" w:rsidRDefault="000B29A4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H Honeyman </w:t>
            </w:r>
            <w:r w:rsidR="00783928">
              <w:rPr>
                <w:bCs/>
                <w:lang w:val="en-GB"/>
              </w:rPr>
              <w:t xml:space="preserve">asked about </w:t>
            </w:r>
            <w:r w:rsidRPr="00BB5C50">
              <w:rPr>
                <w:bCs/>
                <w:lang w:val="en-GB"/>
              </w:rPr>
              <w:t xml:space="preserve">the physical and environmental aspects of security and </w:t>
            </w:r>
            <w:r w:rsidR="009F1027" w:rsidRPr="00BB5C50">
              <w:rPr>
                <w:bCs/>
                <w:lang w:val="en-GB"/>
              </w:rPr>
              <w:t>enquired about</w:t>
            </w:r>
            <w:r w:rsidRPr="00BB5C50">
              <w:rPr>
                <w:bCs/>
                <w:lang w:val="en-GB"/>
              </w:rPr>
              <w:t xml:space="preserve"> how these were identified within an audit perspective. D Robertson clarified that these findings are documented within</w:t>
            </w:r>
            <w:r w:rsidR="00FF1FDC">
              <w:rPr>
                <w:bCs/>
                <w:lang w:val="en-GB"/>
              </w:rPr>
              <w:t xml:space="preserve"> the report and that the recommendation made was of a low level.</w:t>
            </w:r>
            <w:r w:rsidR="002D06D6" w:rsidRPr="00BB5C50">
              <w:rPr>
                <w:bCs/>
                <w:lang w:val="en-GB"/>
              </w:rPr>
              <w:t xml:space="preserve"> </w:t>
            </w:r>
          </w:p>
          <w:p w14:paraId="3732BE47" w14:textId="77777777" w:rsidR="002D06D6" w:rsidRPr="00BB5C50" w:rsidRDefault="002D06D6" w:rsidP="00872F80">
            <w:pPr>
              <w:pStyle w:val="TableParagraph"/>
              <w:rPr>
                <w:bCs/>
                <w:lang w:val="en-GB"/>
              </w:rPr>
            </w:pPr>
          </w:p>
          <w:p w14:paraId="27ACFD35" w14:textId="00D3F853" w:rsidR="0007284D" w:rsidRPr="00BB5C50" w:rsidRDefault="0007284D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D Robertson </w:t>
            </w:r>
            <w:r w:rsidR="00A26A66" w:rsidRPr="00BB5C50">
              <w:rPr>
                <w:bCs/>
                <w:lang w:val="en-GB"/>
              </w:rPr>
              <w:t xml:space="preserve">praised and </w:t>
            </w:r>
            <w:r w:rsidRPr="00BB5C50">
              <w:rPr>
                <w:bCs/>
                <w:lang w:val="en-GB"/>
              </w:rPr>
              <w:t xml:space="preserve">highlighted that Dundee and Angus </w:t>
            </w:r>
            <w:r w:rsidR="00FF1FDC">
              <w:rPr>
                <w:bCs/>
                <w:lang w:val="en-GB"/>
              </w:rPr>
              <w:t>C</w:t>
            </w:r>
            <w:r w:rsidRPr="00BB5C50">
              <w:rPr>
                <w:bCs/>
                <w:lang w:val="en-GB"/>
              </w:rPr>
              <w:t>ollege ha</w:t>
            </w:r>
            <w:r w:rsidR="00FF1FDC">
              <w:rPr>
                <w:bCs/>
                <w:lang w:val="en-GB"/>
              </w:rPr>
              <w:t>d</w:t>
            </w:r>
            <w:r w:rsidRPr="00BB5C50">
              <w:rPr>
                <w:bCs/>
                <w:lang w:val="en-GB"/>
              </w:rPr>
              <w:t xml:space="preserve"> reached a position of advanced information and cyber security resilience.</w:t>
            </w:r>
          </w:p>
          <w:p w14:paraId="1CD152FB" w14:textId="77777777" w:rsidR="00276359" w:rsidRPr="00BB5C50" w:rsidRDefault="00276359" w:rsidP="00872F80">
            <w:pPr>
              <w:pStyle w:val="TableParagraph"/>
              <w:rPr>
                <w:b/>
                <w:lang w:val="en-GB"/>
              </w:rPr>
            </w:pPr>
          </w:p>
          <w:p w14:paraId="1E0B5703" w14:textId="493B4FB2" w:rsidR="0034539D" w:rsidRPr="00BE2132" w:rsidRDefault="00276359" w:rsidP="00872F80">
            <w:pPr>
              <w:pStyle w:val="TableParagraph"/>
              <w:rPr>
                <w:b/>
                <w:bCs/>
                <w:lang w:val="en-GB"/>
              </w:rPr>
            </w:pPr>
            <w:r w:rsidRPr="00BB5C50">
              <w:rPr>
                <w:color w:val="0D0D0D"/>
                <w:shd w:val="clear" w:color="auto" w:fill="FFFFFF"/>
                <w:lang w:val="en-GB"/>
              </w:rPr>
              <w:t xml:space="preserve">H Honeyman expressed gratitude to D Robertson for his presentation </w:t>
            </w:r>
            <w:r w:rsidR="00D73489">
              <w:rPr>
                <w:color w:val="0D0D0D"/>
                <w:shd w:val="clear" w:color="auto" w:fill="FFFFFF"/>
                <w:lang w:val="en-GB"/>
              </w:rPr>
              <w:t>and positive feedback and asked that the thanks of the Committee be passed on to the staff responsible.</w:t>
            </w:r>
            <w:r w:rsidR="00BE2132">
              <w:rPr>
                <w:color w:val="0D0D0D"/>
                <w:shd w:val="clear" w:color="auto" w:fill="FFFFFF"/>
                <w:lang w:val="en-GB"/>
              </w:rPr>
              <w:t xml:space="preserve"> </w:t>
            </w:r>
            <w:r w:rsidR="00BE2132" w:rsidRPr="00BE2132">
              <w:rPr>
                <w:b/>
                <w:bCs/>
                <w:color w:val="0D0D0D"/>
                <w:shd w:val="clear" w:color="auto" w:fill="FFFFFF"/>
                <w:lang w:val="en-GB"/>
              </w:rPr>
              <w:t>S Taylor to progress.</w:t>
            </w:r>
          </w:p>
          <w:p w14:paraId="20AA097C" w14:textId="77777777" w:rsidR="0034539D" w:rsidRPr="00BB5C50" w:rsidRDefault="0034539D" w:rsidP="00872F80">
            <w:pPr>
              <w:pStyle w:val="TableParagraph"/>
              <w:rPr>
                <w:b/>
                <w:lang w:val="en-GB"/>
              </w:rPr>
            </w:pPr>
          </w:p>
        </w:tc>
      </w:tr>
      <w:tr w:rsidR="00295466" w:rsidRPr="00BB5C50" w14:paraId="7522ABB4" w14:textId="77777777" w:rsidTr="00872F80">
        <w:trPr>
          <w:trHeight w:val="1649"/>
        </w:trPr>
        <w:tc>
          <w:tcPr>
            <w:tcW w:w="567" w:type="dxa"/>
          </w:tcPr>
          <w:p w14:paraId="361120B2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4A202035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>INTERNAL AUDIT</w:t>
            </w:r>
          </w:p>
          <w:p w14:paraId="4D807F66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  <w:p w14:paraId="427FAA13" w14:textId="77777777" w:rsidR="00990E4D" w:rsidRPr="00990E4D" w:rsidRDefault="00990E4D" w:rsidP="00990E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13911178" w14:textId="77777777" w:rsidR="00990E4D" w:rsidRPr="00990E4D" w:rsidRDefault="00990E4D" w:rsidP="00990E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2CB8C123" w14:textId="77777777" w:rsidR="00990E4D" w:rsidRPr="00990E4D" w:rsidRDefault="00990E4D" w:rsidP="00990E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222AA1C3" w14:textId="77777777" w:rsidR="00990E4D" w:rsidRPr="00990E4D" w:rsidRDefault="00990E4D" w:rsidP="00990E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1EF30B9E" w14:textId="77777777" w:rsidR="00990E4D" w:rsidRPr="00990E4D" w:rsidRDefault="00990E4D" w:rsidP="00990E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4E58A8E4" w14:textId="77777777" w:rsidR="00990E4D" w:rsidRPr="00990E4D" w:rsidRDefault="00990E4D" w:rsidP="00990E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477C3684" w14:textId="77777777" w:rsidR="00990E4D" w:rsidRPr="00990E4D" w:rsidRDefault="00990E4D" w:rsidP="00990E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301D6C89" w14:textId="3A541A28" w:rsidR="00295466" w:rsidRPr="00990E4D" w:rsidRDefault="00295466" w:rsidP="00990E4D">
            <w:pPr>
              <w:pStyle w:val="TableParagraph"/>
              <w:numPr>
                <w:ilvl w:val="1"/>
                <w:numId w:val="2"/>
              </w:numPr>
              <w:ind w:left="432"/>
              <w:rPr>
                <w:b/>
                <w:lang w:val="en-GB"/>
              </w:rPr>
            </w:pPr>
            <w:r w:rsidRPr="00990E4D">
              <w:rPr>
                <w:b/>
                <w:lang w:val="en-GB"/>
              </w:rPr>
              <w:t>Risk Management &amp; Business Continuity</w:t>
            </w:r>
          </w:p>
          <w:p w14:paraId="1D6D217B" w14:textId="77777777" w:rsidR="00295466" w:rsidRPr="00BB5C50" w:rsidRDefault="00295466" w:rsidP="00872F80">
            <w:pPr>
              <w:pStyle w:val="TableParagraph"/>
              <w:rPr>
                <w:bCs/>
                <w:lang w:val="en-GB"/>
              </w:rPr>
            </w:pPr>
          </w:p>
          <w:p w14:paraId="1B19EECF" w14:textId="23C45BCF" w:rsidR="00896DF6" w:rsidRPr="00BB5C50" w:rsidRDefault="0013036E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>D Archibald</w:t>
            </w:r>
            <w:r w:rsidR="00B31A6A" w:rsidRPr="00BB5C50">
              <w:rPr>
                <w:bCs/>
                <w:lang w:val="en-GB"/>
              </w:rPr>
              <w:t xml:space="preserve"> presented his report on Risk Management &amp; Business Continuity, providing details on the identification, control, mitigation, reporting and discussion of key risks within the organisation. He highlighted </w:t>
            </w:r>
            <w:r w:rsidR="00450CBE" w:rsidRPr="00BB5C50">
              <w:rPr>
                <w:bCs/>
                <w:lang w:val="en-GB"/>
              </w:rPr>
              <w:t>the</w:t>
            </w:r>
            <w:r w:rsidR="00DF273C">
              <w:rPr>
                <w:bCs/>
                <w:lang w:val="en-GB"/>
              </w:rPr>
              <w:t xml:space="preserve"> detailed</w:t>
            </w:r>
            <w:r w:rsidR="00450CBE" w:rsidRPr="00BB5C50">
              <w:rPr>
                <w:bCs/>
                <w:lang w:val="en-GB"/>
              </w:rPr>
              <w:t xml:space="preserve"> involvement of the Senior Leadership Team in monitoring and mitigating risks significant to the </w:t>
            </w:r>
            <w:r w:rsidR="00990E4D">
              <w:rPr>
                <w:bCs/>
                <w:lang w:val="en-GB"/>
              </w:rPr>
              <w:t>C</w:t>
            </w:r>
            <w:r w:rsidR="00764126">
              <w:rPr>
                <w:bCs/>
                <w:lang w:val="en-GB"/>
              </w:rPr>
              <w:t>ollege</w:t>
            </w:r>
            <w:r w:rsidR="00990E4D">
              <w:rPr>
                <w:bCs/>
                <w:lang w:val="en-GB"/>
              </w:rPr>
              <w:t xml:space="preserve"> and noted that the</w:t>
            </w:r>
            <w:r w:rsidR="00450CBE" w:rsidRPr="00BB5C50">
              <w:rPr>
                <w:bCs/>
                <w:lang w:val="en-GB"/>
              </w:rPr>
              <w:t xml:space="preserve"> Strategic Risk Register is reviewe</w:t>
            </w:r>
            <w:r w:rsidR="00896DF6" w:rsidRPr="00BB5C50">
              <w:rPr>
                <w:bCs/>
                <w:lang w:val="en-GB"/>
              </w:rPr>
              <w:t xml:space="preserve">d and updated quarterly through the Audit &amp; Risk Committee. </w:t>
            </w:r>
          </w:p>
          <w:p w14:paraId="1095FB7E" w14:textId="77777777" w:rsidR="00896DF6" w:rsidRPr="00BB5C50" w:rsidRDefault="00896DF6" w:rsidP="00872F80">
            <w:pPr>
              <w:pStyle w:val="TableParagraph"/>
              <w:rPr>
                <w:bCs/>
                <w:lang w:val="en-GB"/>
              </w:rPr>
            </w:pPr>
          </w:p>
          <w:p w14:paraId="1D171F75" w14:textId="77777777" w:rsidR="00FC1490" w:rsidRDefault="00896DF6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D Archibald </w:t>
            </w:r>
            <w:r w:rsidR="006F58E8" w:rsidRPr="00BB5C50">
              <w:rPr>
                <w:bCs/>
                <w:lang w:val="en-GB"/>
              </w:rPr>
              <w:t>commended</w:t>
            </w:r>
            <w:r w:rsidRPr="00BB5C50">
              <w:rPr>
                <w:bCs/>
                <w:lang w:val="en-GB"/>
              </w:rPr>
              <w:t xml:space="preserve"> the effective reporting processes at Dundee &amp; Angus College and praised the positive communication of risks to other </w:t>
            </w:r>
            <w:r w:rsidR="00990E4D">
              <w:rPr>
                <w:bCs/>
                <w:lang w:val="en-GB"/>
              </w:rPr>
              <w:t>Board C</w:t>
            </w:r>
            <w:r w:rsidRPr="00BB5C50">
              <w:rPr>
                <w:bCs/>
                <w:lang w:val="en-GB"/>
              </w:rPr>
              <w:t>ommittees</w:t>
            </w:r>
            <w:r w:rsidR="00A23B88" w:rsidRPr="00BB5C50">
              <w:rPr>
                <w:bCs/>
                <w:lang w:val="en-GB"/>
              </w:rPr>
              <w:t>.</w:t>
            </w:r>
            <w:r w:rsidRPr="00BB5C50">
              <w:rPr>
                <w:bCs/>
                <w:lang w:val="en-GB"/>
              </w:rPr>
              <w:t xml:space="preserve"> The report included </w:t>
            </w:r>
            <w:r w:rsidR="00FC1490">
              <w:rPr>
                <w:bCs/>
                <w:lang w:val="en-GB"/>
              </w:rPr>
              <w:t xml:space="preserve">a significant range of </w:t>
            </w:r>
            <w:r w:rsidRPr="00BB5C50">
              <w:rPr>
                <w:bCs/>
                <w:lang w:val="en-GB"/>
              </w:rPr>
              <w:t>good practices a</w:t>
            </w:r>
            <w:r w:rsidR="00FC1490">
              <w:rPr>
                <w:bCs/>
                <w:lang w:val="en-GB"/>
              </w:rPr>
              <w:t>longside re</w:t>
            </w:r>
            <w:r w:rsidRPr="00BB5C50">
              <w:rPr>
                <w:bCs/>
                <w:lang w:val="en-GB"/>
              </w:rPr>
              <w:t>commendations</w:t>
            </w:r>
            <w:r w:rsidR="00FC1490">
              <w:rPr>
                <w:bCs/>
                <w:lang w:val="en-GB"/>
              </w:rPr>
              <w:t xml:space="preserve"> that had been accepted by the College.</w:t>
            </w:r>
          </w:p>
          <w:p w14:paraId="7C33B244" w14:textId="77777777" w:rsidR="00FC1490" w:rsidRDefault="00FC1490" w:rsidP="00872F80">
            <w:pPr>
              <w:pStyle w:val="TableParagraph"/>
              <w:rPr>
                <w:bCs/>
                <w:lang w:val="en-GB"/>
              </w:rPr>
            </w:pPr>
          </w:p>
          <w:p w14:paraId="1F344388" w14:textId="77777777" w:rsidR="00120A19" w:rsidRDefault="004C1EEA" w:rsidP="00872F80">
            <w:pPr>
              <w:pStyle w:val="TableParagraph"/>
              <w:rPr>
                <w:color w:val="0D0D0D"/>
                <w:lang w:val="en-GB"/>
              </w:rPr>
            </w:pPr>
            <w:r>
              <w:rPr>
                <w:bCs/>
                <w:lang w:val="en-GB"/>
              </w:rPr>
              <w:t>Improvement recommendations</w:t>
            </w:r>
            <w:r w:rsidR="00A239AC" w:rsidRPr="00BB5C50">
              <w:rPr>
                <w:bCs/>
                <w:lang w:val="en-GB"/>
              </w:rPr>
              <w:t xml:space="preserve"> included enhancing risk descri</w:t>
            </w:r>
            <w:r>
              <w:rPr>
                <w:bCs/>
                <w:lang w:val="en-GB"/>
              </w:rPr>
              <w:t>ptions</w:t>
            </w:r>
            <w:r w:rsidR="00A239AC" w:rsidRPr="00BB5C50">
              <w:rPr>
                <w:bCs/>
                <w:lang w:val="en-GB"/>
              </w:rPr>
              <w:t xml:space="preserve"> in the </w:t>
            </w:r>
            <w:r>
              <w:rPr>
                <w:bCs/>
                <w:lang w:val="en-GB"/>
              </w:rPr>
              <w:t>R</w:t>
            </w:r>
            <w:r w:rsidR="00A239AC" w:rsidRPr="00BB5C50">
              <w:rPr>
                <w:bCs/>
                <w:lang w:val="en-GB"/>
              </w:rPr>
              <w:t xml:space="preserve">isk </w:t>
            </w:r>
            <w:r>
              <w:rPr>
                <w:bCs/>
                <w:lang w:val="en-GB"/>
              </w:rPr>
              <w:t xml:space="preserve">Management policy and progressing training and </w:t>
            </w:r>
            <w:r w:rsidR="00B31A6A" w:rsidRPr="00BB5C50">
              <w:rPr>
                <w:color w:val="0D0D0D"/>
                <w:lang w:val="en-GB"/>
              </w:rPr>
              <w:t xml:space="preserve">risk appetite discussions </w:t>
            </w:r>
            <w:r w:rsidR="00120A19">
              <w:rPr>
                <w:color w:val="0D0D0D"/>
                <w:lang w:val="en-GB"/>
              </w:rPr>
              <w:t>with the Board.</w:t>
            </w:r>
          </w:p>
          <w:p w14:paraId="74E94965" w14:textId="77777777" w:rsidR="00120A19" w:rsidRDefault="00120A19" w:rsidP="00872F80">
            <w:pPr>
              <w:pStyle w:val="TableParagraph"/>
              <w:rPr>
                <w:color w:val="0D0D0D"/>
                <w:lang w:val="en-GB"/>
              </w:rPr>
            </w:pPr>
          </w:p>
          <w:p w14:paraId="7C1E3446" w14:textId="4E5FDC51" w:rsidR="00825BB3" w:rsidRDefault="00EA643F" w:rsidP="00EA643F">
            <w:pPr>
              <w:pStyle w:val="TableParagrap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 xml:space="preserve">Details of the report were discussed and </w:t>
            </w:r>
            <w:r w:rsidR="006C6C4A" w:rsidRPr="00BB5C50">
              <w:rPr>
                <w:color w:val="0D0D0D"/>
                <w:lang w:val="en-GB"/>
              </w:rPr>
              <w:t>H</w:t>
            </w:r>
            <w:r w:rsidR="00825BB3" w:rsidRPr="00BB5C50">
              <w:rPr>
                <w:color w:val="0D0D0D"/>
                <w:lang w:val="en-GB"/>
              </w:rPr>
              <w:t xml:space="preserve"> H</w:t>
            </w:r>
            <w:r w:rsidR="006C6C4A" w:rsidRPr="00BB5C50">
              <w:rPr>
                <w:color w:val="0D0D0D"/>
                <w:lang w:val="en-GB"/>
              </w:rPr>
              <w:t xml:space="preserve">oneyman acknowledged the significant amount of work undertaken in addressing risks across </w:t>
            </w:r>
            <w:r>
              <w:rPr>
                <w:color w:val="0D0D0D"/>
                <w:lang w:val="en-GB"/>
              </w:rPr>
              <w:t>the different C</w:t>
            </w:r>
            <w:r w:rsidR="006C6C4A" w:rsidRPr="00BB5C50">
              <w:rPr>
                <w:color w:val="0D0D0D"/>
                <w:lang w:val="en-GB"/>
              </w:rPr>
              <w:t xml:space="preserve">ommittees. </w:t>
            </w:r>
          </w:p>
          <w:p w14:paraId="2587C572" w14:textId="77777777" w:rsidR="00041670" w:rsidRDefault="00041670" w:rsidP="00EA643F">
            <w:pPr>
              <w:pStyle w:val="TableParagraph"/>
              <w:rPr>
                <w:color w:val="0D0D0D"/>
                <w:lang w:val="en-GB"/>
              </w:rPr>
            </w:pPr>
          </w:p>
          <w:p w14:paraId="122DF54F" w14:textId="634EC685" w:rsidR="00041670" w:rsidRPr="00BB5C50" w:rsidRDefault="00041670" w:rsidP="00EA643F">
            <w:pPr>
              <w:pStyle w:val="TableParagrap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 xml:space="preserve">D Archibald noted that the approaches in place in respect of business continuity were thorough and (unusually in his experience0 had been subject to </w:t>
            </w:r>
            <w:r w:rsidR="00B06CD2">
              <w:rPr>
                <w:color w:val="0D0D0D"/>
                <w:lang w:val="en-GB"/>
              </w:rPr>
              <w:t>real and desktop testing.  This experience had strengthened the Colleges awareness and ability to manage business continuity issues.</w:t>
            </w:r>
          </w:p>
          <w:p w14:paraId="7A64E075" w14:textId="77777777" w:rsidR="00825BB3" w:rsidRPr="00BB5C50" w:rsidRDefault="00825BB3" w:rsidP="00872F80">
            <w:pPr>
              <w:pStyle w:val="TableParagraph"/>
              <w:rPr>
                <w:color w:val="0D0D0D"/>
                <w:lang w:val="en-GB"/>
              </w:rPr>
            </w:pPr>
          </w:p>
          <w:p w14:paraId="53F76423" w14:textId="2BF0355C" w:rsidR="006C6C4A" w:rsidRPr="00BB5C50" w:rsidRDefault="00EA643F" w:rsidP="00872F80">
            <w:pPr>
              <w:pStyle w:val="TableParagrap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>In respect of the training and risk appetite recommendations for the Board, S</w:t>
            </w:r>
            <w:r w:rsidR="006C6C4A" w:rsidRPr="00BB5C50">
              <w:rPr>
                <w:color w:val="0D0D0D"/>
                <w:lang w:val="en-GB"/>
              </w:rPr>
              <w:t xml:space="preserve"> Middleton proposed consolidating these discussions into a single training session</w:t>
            </w:r>
            <w:r>
              <w:rPr>
                <w:color w:val="0D0D0D"/>
                <w:lang w:val="en-GB"/>
              </w:rPr>
              <w:t xml:space="preserve">. This was agreed as a good way forward. </w:t>
            </w:r>
          </w:p>
          <w:p w14:paraId="3010FAC3" w14:textId="77777777" w:rsidR="00825BB3" w:rsidRDefault="00825BB3" w:rsidP="00872F80">
            <w:pPr>
              <w:pStyle w:val="TableParagraph"/>
              <w:rPr>
                <w:color w:val="0D0D0D"/>
                <w:lang w:val="en-GB"/>
              </w:rPr>
            </w:pPr>
          </w:p>
          <w:p w14:paraId="5859DDFA" w14:textId="4E296C80" w:rsidR="00EA643F" w:rsidRPr="00BB5C50" w:rsidRDefault="00EA643F" w:rsidP="00872F80">
            <w:pPr>
              <w:pStyle w:val="TableParagrap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>The positive practice and approaches outlined in the report were welcomed and the audit approved.</w:t>
            </w:r>
          </w:p>
          <w:p w14:paraId="1729EFD1" w14:textId="77777777" w:rsidR="00295466" w:rsidRDefault="00295466" w:rsidP="00872F80">
            <w:pPr>
              <w:pStyle w:val="TableParagraph"/>
              <w:rPr>
                <w:bCs/>
                <w:lang w:val="en-GB"/>
              </w:rPr>
            </w:pPr>
          </w:p>
          <w:p w14:paraId="779C839C" w14:textId="77777777" w:rsidR="00B06CD2" w:rsidRPr="00BB5C50" w:rsidRDefault="00B06CD2" w:rsidP="00872F80">
            <w:pPr>
              <w:pStyle w:val="TableParagraph"/>
              <w:rPr>
                <w:bCs/>
                <w:lang w:val="en-GB"/>
              </w:rPr>
            </w:pPr>
          </w:p>
          <w:p w14:paraId="73D9A1BA" w14:textId="77777777" w:rsidR="00295466" w:rsidRPr="00344BA8" w:rsidRDefault="00295466" w:rsidP="00344BA8">
            <w:pPr>
              <w:pStyle w:val="TableParagraph"/>
              <w:numPr>
                <w:ilvl w:val="1"/>
                <w:numId w:val="2"/>
              </w:numPr>
              <w:ind w:left="431" w:hanging="431"/>
              <w:rPr>
                <w:b/>
                <w:lang w:val="en-GB"/>
              </w:rPr>
            </w:pPr>
            <w:r w:rsidRPr="00344BA8">
              <w:rPr>
                <w:b/>
                <w:lang w:val="en-GB"/>
              </w:rPr>
              <w:t>2023/24 Progress Report</w:t>
            </w:r>
          </w:p>
          <w:p w14:paraId="55BB50F9" w14:textId="77777777" w:rsidR="0005271E" w:rsidRPr="00BB5C50" w:rsidRDefault="0005271E" w:rsidP="00872F80">
            <w:pPr>
              <w:pStyle w:val="TableParagraph"/>
              <w:ind w:left="360"/>
              <w:rPr>
                <w:bCs/>
                <w:lang w:val="en-GB"/>
              </w:rPr>
            </w:pPr>
          </w:p>
          <w:p w14:paraId="5DEF3A37" w14:textId="77777777" w:rsidR="00B06CD2" w:rsidRDefault="0005271E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>D Archibald provided a summary of the current year plan outlin</w:t>
            </w:r>
            <w:r w:rsidR="00344BA8">
              <w:rPr>
                <w:bCs/>
                <w:lang w:val="en-GB"/>
              </w:rPr>
              <w:t xml:space="preserve">ing </w:t>
            </w:r>
            <w:r w:rsidRPr="00BB5C50">
              <w:rPr>
                <w:bCs/>
                <w:lang w:val="en-GB"/>
              </w:rPr>
              <w:t>the progress made with the Sports Centre review at Gardyn Campus</w:t>
            </w:r>
            <w:r w:rsidR="00344BA8">
              <w:rPr>
                <w:bCs/>
                <w:lang w:val="en-GB"/>
              </w:rPr>
              <w:t xml:space="preserve">. </w:t>
            </w:r>
          </w:p>
          <w:p w14:paraId="392B0059" w14:textId="77777777" w:rsidR="00B06CD2" w:rsidRDefault="00B06CD2" w:rsidP="00872F80">
            <w:pPr>
              <w:pStyle w:val="TableParagraph"/>
              <w:rPr>
                <w:bCs/>
                <w:lang w:val="en-GB"/>
              </w:rPr>
            </w:pPr>
          </w:p>
          <w:p w14:paraId="108445D5" w14:textId="6EA7A911" w:rsidR="0005271E" w:rsidRPr="00BB5C50" w:rsidRDefault="0005271E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D Archibald stated </w:t>
            </w:r>
            <w:r w:rsidR="003D175D">
              <w:rPr>
                <w:bCs/>
                <w:lang w:val="en-GB"/>
              </w:rPr>
              <w:t>that the other</w:t>
            </w:r>
            <w:r w:rsidRPr="00BB5C50">
              <w:rPr>
                <w:bCs/>
                <w:lang w:val="en-GB"/>
              </w:rPr>
              <w:t xml:space="preserve"> review</w:t>
            </w:r>
            <w:r w:rsidR="003D175D">
              <w:rPr>
                <w:bCs/>
                <w:lang w:val="en-GB"/>
              </w:rPr>
              <w:t xml:space="preserve"> work was</w:t>
            </w:r>
            <w:r w:rsidRPr="00BB5C50">
              <w:rPr>
                <w:bCs/>
                <w:lang w:val="en-GB"/>
              </w:rPr>
              <w:t xml:space="preserve"> scheduled for later in March</w:t>
            </w:r>
            <w:r w:rsidR="003D175D">
              <w:rPr>
                <w:bCs/>
                <w:lang w:val="en-GB"/>
              </w:rPr>
              <w:t xml:space="preserve"> and April</w:t>
            </w:r>
            <w:r w:rsidRPr="00BB5C50">
              <w:rPr>
                <w:bCs/>
                <w:lang w:val="en-GB"/>
              </w:rPr>
              <w:t xml:space="preserve"> 2024</w:t>
            </w:r>
            <w:r w:rsidR="00E63C7D" w:rsidRPr="00BB5C50">
              <w:rPr>
                <w:bCs/>
                <w:lang w:val="en-GB"/>
              </w:rPr>
              <w:t xml:space="preserve">, and the outcomes of these reviews will be presented </w:t>
            </w:r>
            <w:r w:rsidR="007B38B3">
              <w:rPr>
                <w:bCs/>
                <w:lang w:val="en-GB"/>
              </w:rPr>
              <w:t>at the June</w:t>
            </w:r>
            <w:r w:rsidR="00E63C7D" w:rsidRPr="00BB5C50">
              <w:rPr>
                <w:bCs/>
                <w:lang w:val="en-GB"/>
              </w:rPr>
              <w:t xml:space="preserve"> Audit &amp; Risk Committee meeting. </w:t>
            </w:r>
          </w:p>
          <w:p w14:paraId="48D6AE89" w14:textId="77777777" w:rsidR="00295466" w:rsidRPr="00BB5C50" w:rsidRDefault="00295466" w:rsidP="00872F80">
            <w:pPr>
              <w:pStyle w:val="TableParagraph"/>
              <w:rPr>
                <w:bCs/>
                <w:lang w:val="en-GB"/>
              </w:rPr>
            </w:pPr>
          </w:p>
          <w:p w14:paraId="6858805C" w14:textId="556CFED7" w:rsidR="00295466" w:rsidRPr="00BB5C50" w:rsidRDefault="00E63C7D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H Honeyman thanked D Archibald for his report. </w:t>
            </w:r>
          </w:p>
          <w:p w14:paraId="2CEF87A2" w14:textId="77777777" w:rsidR="00295466" w:rsidRPr="00BB5C50" w:rsidRDefault="00295466" w:rsidP="00872F80">
            <w:pPr>
              <w:pStyle w:val="TableParagraph"/>
              <w:rPr>
                <w:bCs/>
                <w:lang w:val="en-GB"/>
              </w:rPr>
            </w:pPr>
          </w:p>
          <w:p w14:paraId="4F73D5C0" w14:textId="77777777" w:rsidR="00295466" w:rsidRPr="007B38B3" w:rsidRDefault="00295466" w:rsidP="007B38B3">
            <w:pPr>
              <w:pStyle w:val="TableParagraph"/>
              <w:numPr>
                <w:ilvl w:val="1"/>
                <w:numId w:val="2"/>
              </w:numPr>
              <w:ind w:left="488" w:hanging="431"/>
              <w:rPr>
                <w:b/>
                <w:lang w:val="en-GB"/>
              </w:rPr>
            </w:pPr>
            <w:r w:rsidRPr="007B38B3">
              <w:rPr>
                <w:b/>
                <w:lang w:val="en-GB"/>
              </w:rPr>
              <w:t>Follow Up Summary</w:t>
            </w:r>
          </w:p>
          <w:p w14:paraId="7B3FCDCC" w14:textId="77777777" w:rsidR="00295466" w:rsidRPr="00BB5C50" w:rsidRDefault="00295466" w:rsidP="00872F80">
            <w:pPr>
              <w:pStyle w:val="TableParagraph"/>
              <w:rPr>
                <w:bCs/>
                <w:lang w:val="en-GB"/>
              </w:rPr>
            </w:pPr>
          </w:p>
          <w:p w14:paraId="36747C1D" w14:textId="3EF5B811" w:rsidR="0034539D" w:rsidRPr="00BB5C50" w:rsidRDefault="00662F64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>S Taylor</w:t>
            </w:r>
            <w:r w:rsidR="00524941" w:rsidRPr="00BB5C50">
              <w:rPr>
                <w:bCs/>
                <w:lang w:val="en-GB"/>
              </w:rPr>
              <w:t xml:space="preserve"> </w:t>
            </w:r>
            <w:r w:rsidR="001161A8" w:rsidRPr="00BB5C50">
              <w:rPr>
                <w:bCs/>
                <w:lang w:val="en-GB"/>
              </w:rPr>
              <w:t>noted to the Committee the</w:t>
            </w:r>
            <w:r w:rsidRPr="00BB5C50">
              <w:rPr>
                <w:bCs/>
                <w:lang w:val="en-GB"/>
              </w:rPr>
              <w:t xml:space="preserve"> </w:t>
            </w:r>
            <w:r w:rsidR="00524941" w:rsidRPr="00BB5C50">
              <w:rPr>
                <w:bCs/>
                <w:lang w:val="en-GB"/>
              </w:rPr>
              <w:t>s</w:t>
            </w:r>
            <w:r w:rsidRPr="00BB5C50">
              <w:rPr>
                <w:bCs/>
                <w:lang w:val="en-GB"/>
              </w:rPr>
              <w:t xml:space="preserve">light change to </w:t>
            </w:r>
            <w:r w:rsidR="00524941" w:rsidRPr="00BB5C50">
              <w:rPr>
                <w:bCs/>
                <w:lang w:val="en-GB"/>
              </w:rPr>
              <w:t xml:space="preserve">the </w:t>
            </w:r>
            <w:r w:rsidRPr="00BB5C50">
              <w:rPr>
                <w:bCs/>
                <w:lang w:val="en-GB"/>
              </w:rPr>
              <w:t xml:space="preserve">report </w:t>
            </w:r>
            <w:r w:rsidR="00524941" w:rsidRPr="00BB5C50">
              <w:rPr>
                <w:bCs/>
                <w:lang w:val="en-GB"/>
              </w:rPr>
              <w:t xml:space="preserve">to highlight </w:t>
            </w:r>
            <w:r w:rsidR="00184A2E" w:rsidRPr="00BB5C50">
              <w:rPr>
                <w:bCs/>
                <w:lang w:val="en-GB"/>
              </w:rPr>
              <w:t xml:space="preserve">and include </w:t>
            </w:r>
            <w:r w:rsidR="00524941" w:rsidRPr="00BB5C50">
              <w:rPr>
                <w:bCs/>
                <w:lang w:val="en-GB"/>
              </w:rPr>
              <w:t xml:space="preserve">all recommendations. </w:t>
            </w:r>
          </w:p>
          <w:p w14:paraId="3FB87669" w14:textId="77777777" w:rsidR="00964C17" w:rsidRPr="00BB5C50" w:rsidRDefault="00964C17" w:rsidP="00872F80">
            <w:pPr>
              <w:pStyle w:val="TableParagraph"/>
              <w:rPr>
                <w:bCs/>
                <w:lang w:val="en-GB"/>
              </w:rPr>
            </w:pPr>
          </w:p>
          <w:p w14:paraId="7C65192D" w14:textId="11D670A2" w:rsidR="008310B6" w:rsidRPr="00BB5C50" w:rsidRDefault="0023782C" w:rsidP="00872F80">
            <w:pPr>
              <w:pStyle w:val="TableParagraph"/>
              <w:rPr>
                <w:color w:val="0D0D0D"/>
                <w:lang w:val="en-GB"/>
              </w:rPr>
            </w:pPr>
            <w:r w:rsidRPr="00BB5C50">
              <w:rPr>
                <w:bCs/>
                <w:lang w:val="en-GB"/>
              </w:rPr>
              <w:t xml:space="preserve">S Taylor </w:t>
            </w:r>
            <w:r w:rsidR="00184A2E" w:rsidRPr="00BB5C50">
              <w:rPr>
                <w:bCs/>
                <w:lang w:val="en-GB"/>
              </w:rPr>
              <w:t xml:space="preserve">discussed the recommendation to review the student invoicing and debt management policy. </w:t>
            </w:r>
            <w:r w:rsidRPr="00BB5C50">
              <w:rPr>
                <w:color w:val="0D0D0D"/>
                <w:lang w:val="en-GB"/>
              </w:rPr>
              <w:t>It was noted that the sign-off for this recommendation ha</w:t>
            </w:r>
            <w:r w:rsidR="00184A2E" w:rsidRPr="00BB5C50">
              <w:rPr>
                <w:color w:val="0D0D0D"/>
                <w:lang w:val="en-GB"/>
              </w:rPr>
              <w:t>d</w:t>
            </w:r>
            <w:r w:rsidRPr="00BB5C50">
              <w:rPr>
                <w:color w:val="0D0D0D"/>
                <w:lang w:val="en-GB"/>
              </w:rPr>
              <w:t xml:space="preserve"> been </w:t>
            </w:r>
            <w:r w:rsidR="00C42338">
              <w:rPr>
                <w:color w:val="0D0D0D"/>
                <w:lang w:val="en-GB"/>
              </w:rPr>
              <w:t>overtaken by</w:t>
            </w:r>
            <w:r w:rsidR="00207CAA">
              <w:rPr>
                <w:color w:val="0D0D0D"/>
                <w:lang w:val="en-GB"/>
              </w:rPr>
              <w:t xml:space="preserve"> a more</w:t>
            </w:r>
            <w:r w:rsidRPr="00BB5C50">
              <w:rPr>
                <w:color w:val="0D0D0D"/>
                <w:lang w:val="en-GB"/>
              </w:rPr>
              <w:t xml:space="preserve"> significant review of all arrangements surrounding student debt. This review </w:t>
            </w:r>
            <w:r w:rsidR="00B438C3" w:rsidRPr="00BB5C50">
              <w:rPr>
                <w:color w:val="0D0D0D"/>
                <w:lang w:val="en-GB"/>
              </w:rPr>
              <w:t>has</w:t>
            </w:r>
            <w:r w:rsidRPr="00BB5C50">
              <w:rPr>
                <w:color w:val="0D0D0D"/>
                <w:lang w:val="en-GB"/>
              </w:rPr>
              <w:t xml:space="preserve"> be</w:t>
            </w:r>
            <w:r w:rsidR="00B438C3" w:rsidRPr="00BB5C50">
              <w:rPr>
                <w:color w:val="0D0D0D"/>
                <w:lang w:val="en-GB"/>
              </w:rPr>
              <w:t>en</w:t>
            </w:r>
            <w:r w:rsidRPr="00BB5C50">
              <w:rPr>
                <w:color w:val="0D0D0D"/>
                <w:lang w:val="en-GB"/>
              </w:rPr>
              <w:t xml:space="preserve"> conducted with the implementation of the REMS student management and revised payments system project. The completion of this work is anticipated by 31 August 2024.</w:t>
            </w:r>
            <w:r w:rsidR="002578A1" w:rsidRPr="00BB5C50">
              <w:rPr>
                <w:color w:val="0D0D0D"/>
                <w:lang w:val="en-GB"/>
              </w:rPr>
              <w:t xml:space="preserve"> Chloe Hendrie</w:t>
            </w:r>
            <w:r w:rsidR="003A1900" w:rsidRPr="00BB5C50">
              <w:rPr>
                <w:color w:val="0D0D0D"/>
                <w:lang w:val="en-GB"/>
              </w:rPr>
              <w:t xml:space="preserve">, the </w:t>
            </w:r>
            <w:r w:rsidR="00207CAA">
              <w:rPr>
                <w:color w:val="0D0D0D"/>
                <w:lang w:val="en-GB"/>
              </w:rPr>
              <w:t xml:space="preserve">new </w:t>
            </w:r>
            <w:r w:rsidR="003A1900" w:rsidRPr="00BB5C50">
              <w:rPr>
                <w:color w:val="0D0D0D"/>
                <w:lang w:val="en-GB"/>
              </w:rPr>
              <w:t>Business Transformation Officer</w:t>
            </w:r>
            <w:r w:rsidR="00085B7E" w:rsidRPr="00BB5C50">
              <w:rPr>
                <w:color w:val="0D0D0D"/>
                <w:lang w:val="en-GB"/>
              </w:rPr>
              <w:t xml:space="preserve"> will investigate the processes and arrangements related to Student Debt </w:t>
            </w:r>
            <w:r w:rsidR="005E0263" w:rsidRPr="00BB5C50">
              <w:rPr>
                <w:color w:val="0D0D0D"/>
                <w:lang w:val="en-GB"/>
              </w:rPr>
              <w:t xml:space="preserve">&amp; Invoicing. </w:t>
            </w:r>
          </w:p>
          <w:p w14:paraId="52A5B902" w14:textId="77777777" w:rsidR="008310B6" w:rsidRPr="00BB5C50" w:rsidRDefault="008310B6" w:rsidP="00872F80">
            <w:pPr>
              <w:pStyle w:val="TableParagraph"/>
              <w:rPr>
                <w:color w:val="0D0D0D"/>
                <w:lang w:val="en-GB"/>
              </w:rPr>
            </w:pPr>
          </w:p>
          <w:p w14:paraId="1498365F" w14:textId="7B2B609C" w:rsidR="004105C6" w:rsidRPr="00BB5C50" w:rsidRDefault="008310B6" w:rsidP="00872F80">
            <w:pPr>
              <w:pStyle w:val="TableParagraph"/>
              <w:rPr>
                <w:color w:val="0D0D0D"/>
                <w:lang w:val="en-GB"/>
              </w:rPr>
            </w:pPr>
            <w:r w:rsidRPr="00BB5C50">
              <w:rPr>
                <w:color w:val="0D0D0D"/>
                <w:lang w:val="en-GB"/>
              </w:rPr>
              <w:t>It was proposed</w:t>
            </w:r>
            <w:r w:rsidR="00207CAA">
              <w:rPr>
                <w:color w:val="0D0D0D"/>
                <w:lang w:val="en-GB"/>
              </w:rPr>
              <w:t xml:space="preserve"> that this action </w:t>
            </w:r>
            <w:r w:rsidRPr="00BB5C50">
              <w:rPr>
                <w:color w:val="0D0D0D"/>
                <w:lang w:val="en-GB"/>
              </w:rPr>
              <w:t>be removed from future reporting</w:t>
            </w:r>
            <w:r w:rsidR="002849D0">
              <w:rPr>
                <w:color w:val="0D0D0D"/>
                <w:lang w:val="en-GB"/>
              </w:rPr>
              <w:t xml:space="preserve">. </w:t>
            </w:r>
            <w:r w:rsidR="004105C6" w:rsidRPr="00BB5C50">
              <w:rPr>
                <w:color w:val="0D0D0D"/>
                <w:lang w:val="en-GB"/>
              </w:rPr>
              <w:t xml:space="preserve">The Committee agreed to close and remove this </w:t>
            </w:r>
            <w:r w:rsidRPr="00BB5C50">
              <w:rPr>
                <w:color w:val="0D0D0D"/>
                <w:lang w:val="en-GB"/>
              </w:rPr>
              <w:t xml:space="preserve">action </w:t>
            </w:r>
            <w:r w:rsidR="004105C6" w:rsidRPr="00BB5C50">
              <w:rPr>
                <w:color w:val="0D0D0D"/>
                <w:lang w:val="en-GB"/>
              </w:rPr>
              <w:t xml:space="preserve">from the listing. </w:t>
            </w:r>
          </w:p>
          <w:p w14:paraId="7F1E543A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</w:tc>
      </w:tr>
      <w:tr w:rsidR="00295466" w:rsidRPr="00BB5C50" w14:paraId="134EEA8D" w14:textId="77777777" w:rsidTr="00872F80">
        <w:trPr>
          <w:trHeight w:val="1149"/>
        </w:trPr>
        <w:tc>
          <w:tcPr>
            <w:tcW w:w="567" w:type="dxa"/>
          </w:tcPr>
          <w:p w14:paraId="4E220736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182623D5" w14:textId="4FA42EA6" w:rsidR="00D90318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>STRATEGIC RISK REGISTER</w:t>
            </w:r>
          </w:p>
          <w:p w14:paraId="3C5CFD74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  <w:p w14:paraId="5674316B" w14:textId="77777777" w:rsidR="00295466" w:rsidRPr="00BB5C50" w:rsidRDefault="00295466" w:rsidP="00872F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5FEF53AE" w14:textId="526239D9" w:rsidR="00FB6134" w:rsidRPr="00BB5C50" w:rsidRDefault="00FB6134" w:rsidP="00872F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BB5C50">
              <w:rPr>
                <w:rFonts w:ascii="Arial" w:hAnsi="Arial" w:cs="Arial"/>
                <w:bCs/>
              </w:rPr>
              <w:t xml:space="preserve">S Taylor summarised the Risk Register paper </w:t>
            </w:r>
            <w:r w:rsidR="002849D0">
              <w:rPr>
                <w:rFonts w:ascii="Arial" w:hAnsi="Arial" w:cs="Arial"/>
                <w:bCs/>
              </w:rPr>
              <w:t xml:space="preserve">and Strategic Risk Register </w:t>
            </w:r>
            <w:r w:rsidRPr="00BB5C50">
              <w:rPr>
                <w:rFonts w:ascii="Arial" w:hAnsi="Arial" w:cs="Arial"/>
                <w:bCs/>
              </w:rPr>
              <w:t>for approval.</w:t>
            </w:r>
          </w:p>
          <w:p w14:paraId="2E3157F3" w14:textId="77777777" w:rsidR="002E6E98" w:rsidRPr="00BB5C50" w:rsidRDefault="002E6E98" w:rsidP="00872F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96EDF36" w14:textId="661620A0" w:rsidR="005C61AE" w:rsidRPr="00BB5C50" w:rsidRDefault="00FB6134" w:rsidP="00872F8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 w:rsidRPr="00BB5C50">
              <w:rPr>
                <w:rFonts w:ascii="Arial" w:hAnsi="Arial" w:cs="Arial"/>
                <w:bCs/>
              </w:rPr>
              <w:t xml:space="preserve">S Taylor </w:t>
            </w:r>
            <w:r w:rsidR="000F69FF">
              <w:rPr>
                <w:rFonts w:ascii="Arial" w:hAnsi="Arial" w:cs="Arial"/>
                <w:bCs/>
              </w:rPr>
              <w:t xml:space="preserve">noted that </w:t>
            </w:r>
            <w:r w:rsidR="00CF7C86" w:rsidRPr="00BB5C50">
              <w:rPr>
                <w:rFonts w:ascii="Arial" w:hAnsi="Arial" w:cs="Arial"/>
                <w:color w:val="0D0D0D"/>
              </w:rPr>
              <w:t xml:space="preserve">discussions between Colleges Scotland, the Scottish Government, and the Scottish Funding Council (SFC) regarding sector-wide flexibilities </w:t>
            </w:r>
            <w:r w:rsidR="008158BB">
              <w:rPr>
                <w:rFonts w:ascii="Arial" w:hAnsi="Arial" w:cs="Arial"/>
                <w:color w:val="0D0D0D"/>
              </w:rPr>
              <w:t>had progressed and that the risk of clawback in funding from 2022/23 had now been removed</w:t>
            </w:r>
            <w:r w:rsidR="00C93C5B">
              <w:rPr>
                <w:rFonts w:ascii="Arial" w:hAnsi="Arial" w:cs="Arial"/>
                <w:color w:val="0D0D0D"/>
              </w:rPr>
              <w:t xml:space="preserve"> </w:t>
            </w:r>
            <w:r w:rsidR="00CF7C86" w:rsidRPr="00BB5C50">
              <w:rPr>
                <w:rFonts w:ascii="Arial" w:hAnsi="Arial" w:cs="Arial"/>
                <w:color w:val="0D0D0D"/>
              </w:rPr>
              <w:t>and confirmed in writing by SFC</w:t>
            </w:r>
            <w:r w:rsidR="00197889" w:rsidRPr="00BB5C50">
              <w:rPr>
                <w:rFonts w:ascii="Arial" w:hAnsi="Arial" w:cs="Arial"/>
                <w:color w:val="0D0D0D"/>
              </w:rPr>
              <w:t xml:space="preserve">. </w:t>
            </w:r>
            <w:r w:rsidR="00C93C5B">
              <w:rPr>
                <w:rFonts w:ascii="Arial" w:hAnsi="Arial" w:cs="Arial"/>
                <w:color w:val="0D0D0D"/>
              </w:rPr>
              <w:t xml:space="preserve"> </w:t>
            </w:r>
            <w:r w:rsidR="00CF7C86" w:rsidRPr="00BB5C50">
              <w:rPr>
                <w:rFonts w:ascii="Arial" w:hAnsi="Arial" w:cs="Arial"/>
                <w:color w:val="0D0D0D"/>
              </w:rPr>
              <w:t>Additionally, national discussions are progressing concerning 2024/25 and beyond, focusing on enhancing sector engagement and providing advance warning of future changes.</w:t>
            </w:r>
          </w:p>
          <w:p w14:paraId="4D33ED45" w14:textId="77777777" w:rsidR="00C93C5B" w:rsidRDefault="00C93C5B" w:rsidP="00872F8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</w:p>
          <w:p w14:paraId="38ADFA55" w14:textId="77777777" w:rsidR="00C93C5B" w:rsidRDefault="005C61AE" w:rsidP="00872F8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 w:rsidRPr="00BB5C50">
              <w:rPr>
                <w:rFonts w:ascii="Arial" w:hAnsi="Arial" w:cs="Arial"/>
                <w:color w:val="0D0D0D"/>
              </w:rPr>
              <w:t xml:space="preserve">S Taylor highlighted the most recent management accounts and budget monitoring reports, as reviewed by the </w:t>
            </w:r>
            <w:r w:rsidR="00C93C5B">
              <w:rPr>
                <w:rFonts w:ascii="Arial" w:hAnsi="Arial" w:cs="Arial"/>
                <w:color w:val="0D0D0D"/>
              </w:rPr>
              <w:t>F</w:t>
            </w:r>
            <w:r w:rsidRPr="00BB5C50">
              <w:rPr>
                <w:rFonts w:ascii="Arial" w:hAnsi="Arial" w:cs="Arial"/>
                <w:color w:val="0D0D0D"/>
              </w:rPr>
              <w:t xml:space="preserve">inance &amp; Property Committee, affirm that the college is on course to achieve a </w:t>
            </w:r>
            <w:r w:rsidR="00C93C5B">
              <w:rPr>
                <w:rFonts w:ascii="Arial" w:hAnsi="Arial" w:cs="Arial"/>
                <w:color w:val="0D0D0D"/>
              </w:rPr>
              <w:t xml:space="preserve">small </w:t>
            </w:r>
            <w:r w:rsidRPr="00BB5C50">
              <w:rPr>
                <w:rFonts w:ascii="Arial" w:hAnsi="Arial" w:cs="Arial"/>
                <w:color w:val="0D0D0D"/>
              </w:rPr>
              <w:t xml:space="preserve">surplus for the 2023/24 </w:t>
            </w:r>
            <w:r w:rsidR="00C93C5B">
              <w:rPr>
                <w:rFonts w:ascii="Arial" w:hAnsi="Arial" w:cs="Arial"/>
                <w:color w:val="0D0D0D"/>
              </w:rPr>
              <w:t>financial</w:t>
            </w:r>
            <w:r w:rsidRPr="00BB5C50">
              <w:rPr>
                <w:rFonts w:ascii="Arial" w:hAnsi="Arial" w:cs="Arial"/>
                <w:color w:val="0D0D0D"/>
              </w:rPr>
              <w:t xml:space="preserve"> year</w:t>
            </w:r>
            <w:r w:rsidR="00C93C5B">
              <w:rPr>
                <w:rFonts w:ascii="Arial" w:hAnsi="Arial" w:cs="Arial"/>
                <w:color w:val="0D0D0D"/>
              </w:rPr>
              <w:t xml:space="preserve"> and reducing risk in respect of Financial Sustainability.</w:t>
            </w:r>
          </w:p>
          <w:p w14:paraId="346AF47A" w14:textId="77777777" w:rsidR="00C93C5B" w:rsidRDefault="00C93C5B" w:rsidP="00872F8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</w:p>
          <w:p w14:paraId="3628DE4A" w14:textId="0C5499E2" w:rsidR="00DF273C" w:rsidRDefault="00FB6134" w:rsidP="00872F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5C50">
              <w:rPr>
                <w:rFonts w:ascii="Arial" w:hAnsi="Arial" w:cs="Arial"/>
                <w:bCs/>
              </w:rPr>
              <w:t xml:space="preserve">S Taylor provided an update regarding additional risks that have been added to The Strategic Risk Register as per the </w:t>
            </w:r>
            <w:r w:rsidR="00DF273C">
              <w:rPr>
                <w:rFonts w:ascii="Arial" w:hAnsi="Arial" w:cs="Arial"/>
                <w:bCs/>
              </w:rPr>
              <w:t xml:space="preserve">discussions at the previous meeting and the recommendations of the risk management audit.  Following </w:t>
            </w:r>
            <w:r w:rsidR="0038765E">
              <w:rPr>
                <w:rFonts w:ascii="Arial" w:hAnsi="Arial" w:cs="Arial"/>
                <w:bCs/>
              </w:rPr>
              <w:t>discussion,</w:t>
            </w:r>
            <w:r w:rsidR="00DF273C">
              <w:rPr>
                <w:rFonts w:ascii="Arial" w:hAnsi="Arial" w:cs="Arial"/>
                <w:bCs/>
              </w:rPr>
              <w:t xml:space="preserve"> it was agreed that refence would be made to handover arrangements in respect of the new staff recruitment/retention risk.</w:t>
            </w:r>
          </w:p>
          <w:p w14:paraId="51F8E597" w14:textId="77777777" w:rsidR="00DF273C" w:rsidRDefault="00DF273C" w:rsidP="00872F8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F6B0351" w14:textId="4463F346" w:rsidR="00D2124D" w:rsidRPr="00BB5C50" w:rsidRDefault="00BE7FDA" w:rsidP="00872F80">
            <w:pPr>
              <w:pStyle w:val="TableParagraph"/>
              <w:rPr>
                <w:bCs/>
                <w:lang w:val="en-GB"/>
              </w:rPr>
            </w:pPr>
            <w:r w:rsidRPr="00BB5C50">
              <w:rPr>
                <w:bCs/>
                <w:lang w:val="en-GB"/>
              </w:rPr>
              <w:t xml:space="preserve">The </w:t>
            </w:r>
            <w:r w:rsidR="00DF273C">
              <w:rPr>
                <w:bCs/>
                <w:lang w:val="en-GB"/>
              </w:rPr>
              <w:t>C</w:t>
            </w:r>
            <w:r w:rsidRPr="00BB5C50">
              <w:rPr>
                <w:bCs/>
                <w:lang w:val="en-GB"/>
              </w:rPr>
              <w:t>ommittee approved th</w:t>
            </w:r>
            <w:r w:rsidR="00DF273C">
              <w:rPr>
                <w:bCs/>
                <w:lang w:val="en-GB"/>
              </w:rPr>
              <w:t>e changes proposed in the Strategic Risk Register</w:t>
            </w:r>
            <w:r w:rsidRPr="00BB5C50">
              <w:rPr>
                <w:bCs/>
                <w:lang w:val="en-GB"/>
              </w:rPr>
              <w:t>.</w:t>
            </w:r>
            <w:r w:rsidR="00D2124D" w:rsidRPr="00BB5C50">
              <w:rPr>
                <w:bCs/>
                <w:lang w:val="en-GB"/>
              </w:rPr>
              <w:t xml:space="preserve"> </w:t>
            </w:r>
          </w:p>
          <w:p w14:paraId="25B30E2A" w14:textId="60F923BE" w:rsidR="00295466" w:rsidRPr="00BB5C50" w:rsidRDefault="00ED2964" w:rsidP="00DF273C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 xml:space="preserve"> </w:t>
            </w:r>
          </w:p>
        </w:tc>
      </w:tr>
      <w:tr w:rsidR="00295466" w:rsidRPr="00BB5C50" w14:paraId="27FCE7C2" w14:textId="77777777" w:rsidTr="00872F80">
        <w:trPr>
          <w:trHeight w:val="506"/>
        </w:trPr>
        <w:tc>
          <w:tcPr>
            <w:tcW w:w="567" w:type="dxa"/>
          </w:tcPr>
          <w:p w14:paraId="5588DF64" w14:textId="77777777" w:rsidR="00295466" w:rsidRPr="00BB5C50" w:rsidRDefault="00295466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7EEED3B2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b/>
                <w:lang w:val="en-GB"/>
              </w:rPr>
              <w:t xml:space="preserve">EXTERNAL AUDIT </w:t>
            </w:r>
          </w:p>
          <w:p w14:paraId="6CE7A8AE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  <w:p w14:paraId="019DBCC4" w14:textId="318FAF6F" w:rsidR="00295466" w:rsidRPr="00BB5C50" w:rsidRDefault="00350322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color w:val="0D0D0D"/>
                <w:shd w:val="clear" w:color="auto" w:fill="FFFFFF"/>
                <w:lang w:val="en-GB"/>
              </w:rPr>
              <w:t>M</w:t>
            </w:r>
            <w:r w:rsidR="00A17956" w:rsidRPr="00BB5C50">
              <w:rPr>
                <w:color w:val="0D0D0D"/>
                <w:shd w:val="clear" w:color="auto" w:fill="FFFFFF"/>
                <w:lang w:val="en-GB"/>
              </w:rPr>
              <w:t xml:space="preserve"> </w:t>
            </w:r>
            <w:r w:rsidRPr="00BB5C50">
              <w:rPr>
                <w:color w:val="0D0D0D"/>
                <w:shd w:val="clear" w:color="auto" w:fill="FFFFFF"/>
                <w:lang w:val="en-GB"/>
              </w:rPr>
              <w:t xml:space="preserve">Speight </w:t>
            </w:r>
            <w:r w:rsidR="00A20AC0">
              <w:rPr>
                <w:color w:val="0D0D0D"/>
                <w:shd w:val="clear" w:color="auto" w:fill="FFFFFF"/>
                <w:lang w:val="en-GB"/>
              </w:rPr>
              <w:t xml:space="preserve">noted that there </w:t>
            </w:r>
            <w:r w:rsidR="0038765E">
              <w:rPr>
                <w:color w:val="0D0D0D"/>
                <w:shd w:val="clear" w:color="auto" w:fill="FFFFFF"/>
                <w:lang w:val="en-GB"/>
              </w:rPr>
              <w:t>weren’t</w:t>
            </w:r>
            <w:r w:rsidR="00A20AC0">
              <w:rPr>
                <w:color w:val="0D0D0D"/>
                <w:shd w:val="clear" w:color="auto" w:fill="FFFFFF"/>
                <w:lang w:val="en-GB"/>
              </w:rPr>
              <w:t xml:space="preserve"> any specific points to report at this stage in the </w:t>
            </w:r>
            <w:r w:rsidR="0038765E">
              <w:rPr>
                <w:color w:val="0D0D0D"/>
                <w:shd w:val="clear" w:color="auto" w:fill="FFFFFF"/>
                <w:lang w:val="en-GB"/>
              </w:rPr>
              <w:t>year but</w:t>
            </w:r>
            <w:r w:rsidR="00A20AC0">
              <w:rPr>
                <w:color w:val="0D0D0D"/>
                <w:shd w:val="clear" w:color="auto" w:fill="FFFFFF"/>
                <w:lang w:val="en-GB"/>
              </w:rPr>
              <w:t xml:space="preserve"> noted that he would reach out to </w:t>
            </w:r>
            <w:r w:rsidRPr="00BB5C50">
              <w:rPr>
                <w:color w:val="0D0D0D"/>
                <w:shd w:val="clear" w:color="auto" w:fill="FFFFFF"/>
                <w:lang w:val="en-GB"/>
              </w:rPr>
              <w:t>N</w:t>
            </w:r>
            <w:r w:rsidR="00A17956" w:rsidRPr="00BB5C50">
              <w:rPr>
                <w:color w:val="0D0D0D"/>
                <w:shd w:val="clear" w:color="auto" w:fill="FFFFFF"/>
                <w:lang w:val="en-GB"/>
              </w:rPr>
              <w:t xml:space="preserve"> </w:t>
            </w:r>
            <w:r w:rsidRPr="00BB5C50">
              <w:rPr>
                <w:color w:val="0D0D0D"/>
                <w:shd w:val="clear" w:color="auto" w:fill="FFFFFF"/>
                <w:lang w:val="en-GB"/>
              </w:rPr>
              <w:t xml:space="preserve">Anderson to discuss </w:t>
            </w:r>
            <w:r w:rsidR="00017037">
              <w:rPr>
                <w:color w:val="0D0D0D"/>
                <w:shd w:val="clear" w:color="auto" w:fill="FFFFFF"/>
                <w:lang w:val="en-GB"/>
              </w:rPr>
              <w:t xml:space="preserve">any areas or ideas for </w:t>
            </w:r>
            <w:r w:rsidRPr="00BB5C50">
              <w:rPr>
                <w:color w:val="0D0D0D"/>
                <w:shd w:val="clear" w:color="auto" w:fill="FFFFFF"/>
                <w:lang w:val="en-GB"/>
              </w:rPr>
              <w:t>improvement</w:t>
            </w:r>
            <w:r w:rsidR="00017037">
              <w:rPr>
                <w:color w:val="0D0D0D"/>
                <w:shd w:val="clear" w:color="auto" w:fill="FFFFFF"/>
                <w:lang w:val="en-GB"/>
              </w:rPr>
              <w:t xml:space="preserve"> in planning for the 2023/24 audit</w:t>
            </w:r>
            <w:r w:rsidRPr="00BB5C50">
              <w:rPr>
                <w:color w:val="0D0D0D"/>
                <w:shd w:val="clear" w:color="auto" w:fill="FFFFFF"/>
                <w:lang w:val="en-GB"/>
              </w:rPr>
              <w:t>.</w:t>
            </w:r>
            <w:r w:rsidR="00017037">
              <w:rPr>
                <w:color w:val="0D0D0D"/>
                <w:shd w:val="clear" w:color="auto" w:fill="FFFFFF"/>
                <w:lang w:val="en-GB"/>
              </w:rPr>
              <w:t xml:space="preserve">  N Anderson welcomed this.</w:t>
            </w:r>
          </w:p>
          <w:p w14:paraId="2B3C41BC" w14:textId="77777777" w:rsidR="00295466" w:rsidRPr="00BB5C50" w:rsidRDefault="00295466" w:rsidP="00872F80">
            <w:pPr>
              <w:pStyle w:val="TableParagraph"/>
              <w:rPr>
                <w:b/>
                <w:lang w:val="en-GB"/>
              </w:rPr>
            </w:pPr>
          </w:p>
        </w:tc>
      </w:tr>
      <w:tr w:rsidR="00872F80" w:rsidRPr="00BB5C50" w14:paraId="23E00D9A" w14:textId="77777777" w:rsidTr="00872F80">
        <w:trPr>
          <w:trHeight w:val="506"/>
        </w:trPr>
        <w:tc>
          <w:tcPr>
            <w:tcW w:w="567" w:type="dxa"/>
          </w:tcPr>
          <w:p w14:paraId="650D1F1C" w14:textId="77777777" w:rsidR="00872F80" w:rsidRPr="00BB5C50" w:rsidRDefault="00872F80" w:rsidP="00872F80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8" w:type="dxa"/>
          </w:tcPr>
          <w:p w14:paraId="21E638D1" w14:textId="77777777" w:rsidR="00563120" w:rsidRPr="00BB5C50" w:rsidRDefault="00563120" w:rsidP="00872F80">
            <w:pPr>
              <w:pStyle w:val="TableParagraph"/>
              <w:rPr>
                <w:b/>
                <w:bCs/>
                <w:lang w:val="en-GB"/>
              </w:rPr>
            </w:pPr>
            <w:r w:rsidRPr="00BB5C50">
              <w:rPr>
                <w:b/>
                <w:bCs/>
                <w:lang w:val="en-GB"/>
              </w:rPr>
              <w:t>DATE OF NEXT MEETING</w:t>
            </w:r>
          </w:p>
          <w:p w14:paraId="74621099" w14:textId="77777777" w:rsidR="00563120" w:rsidRPr="00BB5C50" w:rsidRDefault="00563120" w:rsidP="00872F80">
            <w:pPr>
              <w:pStyle w:val="TableParagraph"/>
              <w:rPr>
                <w:lang w:val="en-GB"/>
              </w:rPr>
            </w:pPr>
          </w:p>
          <w:p w14:paraId="436F6770" w14:textId="356B672E" w:rsidR="00872F80" w:rsidRPr="00BB5C50" w:rsidRDefault="00563120" w:rsidP="00872F80">
            <w:pPr>
              <w:pStyle w:val="TableParagraph"/>
              <w:rPr>
                <w:b/>
                <w:lang w:val="en-GB"/>
              </w:rPr>
            </w:pPr>
            <w:r w:rsidRPr="00BB5C50">
              <w:rPr>
                <w:lang w:val="en-GB"/>
              </w:rPr>
              <w:t>Tuesday 4</w:t>
            </w:r>
            <w:r w:rsidRPr="00BB5C50">
              <w:rPr>
                <w:vertAlign w:val="superscript"/>
                <w:lang w:val="en-GB"/>
              </w:rPr>
              <w:t>th</w:t>
            </w:r>
            <w:r w:rsidRPr="00BB5C50">
              <w:rPr>
                <w:lang w:val="en-GB"/>
              </w:rPr>
              <w:t xml:space="preserve"> June 2024, Kingsway Campus, Room A625.</w:t>
            </w:r>
          </w:p>
        </w:tc>
      </w:tr>
    </w:tbl>
    <w:p w14:paraId="12D04F36" w14:textId="13BB40C3" w:rsidR="00295466" w:rsidRPr="0081774D" w:rsidRDefault="00295466">
      <w:pPr>
        <w:rPr>
          <w:rFonts w:ascii="Arial" w:hAnsi="Arial" w:cs="Arial"/>
        </w:rPr>
      </w:pPr>
    </w:p>
    <w:p w14:paraId="5E3C246C" w14:textId="77777777" w:rsidR="00A17956" w:rsidRDefault="00A17956"/>
    <w:tbl>
      <w:tblPr>
        <w:tblW w:w="10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1559"/>
        <w:gridCol w:w="1560"/>
      </w:tblGrid>
      <w:tr w:rsidR="00A17956" w:rsidRPr="00775417" w14:paraId="012C1B80" w14:textId="77777777" w:rsidTr="002933B2">
        <w:trPr>
          <w:trHeight w:val="375"/>
        </w:trPr>
        <w:tc>
          <w:tcPr>
            <w:tcW w:w="7093" w:type="dxa"/>
          </w:tcPr>
          <w:p w14:paraId="2A580BCA" w14:textId="77777777" w:rsidR="00A17956" w:rsidRPr="008B6977" w:rsidRDefault="00A17956" w:rsidP="002933B2">
            <w:pPr>
              <w:pStyle w:val="TableParagraph"/>
              <w:jc w:val="center"/>
              <w:rPr>
                <w:b/>
              </w:rPr>
            </w:pPr>
            <w:r w:rsidRPr="008B6977">
              <w:rPr>
                <w:b/>
              </w:rPr>
              <w:lastRenderedPageBreak/>
              <w:t>Action Point Summary</w:t>
            </w:r>
          </w:p>
        </w:tc>
        <w:tc>
          <w:tcPr>
            <w:tcW w:w="1559" w:type="dxa"/>
          </w:tcPr>
          <w:p w14:paraId="0EC91409" w14:textId="77777777" w:rsidR="00A17956" w:rsidRPr="00775417" w:rsidRDefault="00A17956" w:rsidP="002933B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31253F7" w14:textId="77777777" w:rsidR="00A17956" w:rsidRPr="00775417" w:rsidRDefault="00A17956" w:rsidP="002933B2">
            <w:pPr>
              <w:pStyle w:val="TableParagraph"/>
              <w:jc w:val="center"/>
              <w:rPr>
                <w:b/>
              </w:rPr>
            </w:pPr>
          </w:p>
        </w:tc>
      </w:tr>
      <w:tr w:rsidR="00A17956" w:rsidRPr="00775417" w14:paraId="445572EB" w14:textId="77777777" w:rsidTr="002933B2">
        <w:trPr>
          <w:trHeight w:val="376"/>
        </w:trPr>
        <w:tc>
          <w:tcPr>
            <w:tcW w:w="7093" w:type="dxa"/>
          </w:tcPr>
          <w:p w14:paraId="7BDC1247" w14:textId="77777777" w:rsidR="00A17956" w:rsidRDefault="00A17956" w:rsidP="002933B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  <w:p w14:paraId="1427BF24" w14:textId="77777777" w:rsidR="00501534" w:rsidRPr="008B6977" w:rsidRDefault="00501534" w:rsidP="002933B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3DC800D" w14:textId="77777777" w:rsidR="00A17956" w:rsidRPr="00775417" w:rsidRDefault="00A17956" w:rsidP="00501534">
            <w:pPr>
              <w:pStyle w:val="TableParagraph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560" w:type="dxa"/>
          </w:tcPr>
          <w:p w14:paraId="4D294C00" w14:textId="738A688F" w:rsidR="00A17956" w:rsidRPr="00775417" w:rsidRDefault="00501534" w:rsidP="0050153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</w:t>
            </w:r>
            <w:r w:rsidR="00A17956">
              <w:rPr>
                <w:b/>
              </w:rPr>
              <w:t>Date</w:t>
            </w:r>
          </w:p>
        </w:tc>
      </w:tr>
      <w:tr w:rsidR="00A17956" w:rsidRPr="00775417" w14:paraId="1473F439" w14:textId="77777777" w:rsidTr="002933B2">
        <w:trPr>
          <w:trHeight w:val="376"/>
        </w:trPr>
        <w:tc>
          <w:tcPr>
            <w:tcW w:w="7093" w:type="dxa"/>
          </w:tcPr>
          <w:p w14:paraId="64FDA7D2" w14:textId="3F343123" w:rsidR="00747ADC" w:rsidRDefault="00501534" w:rsidP="00F326E5">
            <w:pPr>
              <w:pStyle w:val="TableParagraph"/>
              <w:rPr>
                <w:bCs/>
              </w:rPr>
            </w:pPr>
            <w:r>
              <w:rPr>
                <w:bCs/>
              </w:rPr>
              <w:t>T</w:t>
            </w:r>
            <w:r w:rsidR="00747ADC">
              <w:rPr>
                <w:bCs/>
              </w:rPr>
              <w:t>he thanks of the Committee to be passed on to the Cyber</w:t>
            </w:r>
            <w:r w:rsidR="006E09D3">
              <w:rPr>
                <w:bCs/>
              </w:rPr>
              <w:t xml:space="preserve"> S</w:t>
            </w:r>
            <w:r w:rsidR="00747ADC">
              <w:rPr>
                <w:bCs/>
              </w:rPr>
              <w:t xml:space="preserve">ecurity </w:t>
            </w:r>
            <w:r w:rsidR="006E09D3">
              <w:rPr>
                <w:bCs/>
              </w:rPr>
              <w:t>T</w:t>
            </w:r>
            <w:r w:rsidR="00747ADC">
              <w:rPr>
                <w:bCs/>
              </w:rPr>
              <w:t xml:space="preserve">eam for the </w:t>
            </w:r>
            <w:r w:rsidR="00A14284">
              <w:rPr>
                <w:bCs/>
              </w:rPr>
              <w:t>positive</w:t>
            </w:r>
            <w:r w:rsidR="00747ADC">
              <w:rPr>
                <w:bCs/>
              </w:rPr>
              <w:t xml:space="preserve"> audit outcome achieved.</w:t>
            </w:r>
          </w:p>
          <w:p w14:paraId="1D266FD3" w14:textId="5EB3BE32" w:rsidR="00F326E5" w:rsidRPr="00F326E5" w:rsidRDefault="00A17956" w:rsidP="00F326E5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14:paraId="186234D6" w14:textId="19DC5B8D" w:rsidR="00A17956" w:rsidRPr="00501534" w:rsidRDefault="00501534" w:rsidP="002933B2">
            <w:pPr>
              <w:rPr>
                <w:rFonts w:ascii="Arial" w:hAnsi="Arial" w:cs="Arial"/>
              </w:rPr>
            </w:pPr>
            <w:r w:rsidRPr="00501534">
              <w:rPr>
                <w:rFonts w:ascii="Arial" w:hAnsi="Arial" w:cs="Arial"/>
              </w:rPr>
              <w:t>S Taylor</w:t>
            </w:r>
          </w:p>
        </w:tc>
        <w:tc>
          <w:tcPr>
            <w:tcW w:w="1560" w:type="dxa"/>
          </w:tcPr>
          <w:p w14:paraId="0A91BFB3" w14:textId="4F9A4230" w:rsidR="00A17956" w:rsidRPr="00CE2EEC" w:rsidRDefault="00D77620" w:rsidP="002933B2">
            <w:pPr>
              <w:pStyle w:val="TableParagraph"/>
            </w:pPr>
            <w:r>
              <w:t xml:space="preserve">15 March </w:t>
            </w:r>
            <w:r w:rsidR="00501534">
              <w:t>2024</w:t>
            </w:r>
          </w:p>
        </w:tc>
      </w:tr>
    </w:tbl>
    <w:p w14:paraId="073C2B5C" w14:textId="77777777" w:rsidR="00A17956" w:rsidRDefault="00A17956"/>
    <w:sectPr w:rsidR="00A17956" w:rsidSect="00F40EE5">
      <w:footerReference w:type="default" r:id="rId11"/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C66B" w14:textId="77777777" w:rsidR="00F40EE5" w:rsidRDefault="00F40EE5" w:rsidP="00D77620">
      <w:pPr>
        <w:spacing w:after="0" w:line="240" w:lineRule="auto"/>
      </w:pPr>
      <w:r>
        <w:separator/>
      </w:r>
    </w:p>
  </w:endnote>
  <w:endnote w:type="continuationSeparator" w:id="0">
    <w:p w14:paraId="3661C1B6" w14:textId="77777777" w:rsidR="00F40EE5" w:rsidRDefault="00F40EE5" w:rsidP="00D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4616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D9C1A5" w14:textId="141EB698" w:rsidR="00D77620" w:rsidRDefault="00D77620">
            <w:pPr>
              <w:pStyle w:val="Footer"/>
              <w:jc w:val="right"/>
            </w:pPr>
            <w:r w:rsidRPr="00D7762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7762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7620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7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762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776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762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7762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7620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D77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762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77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3D651F41" w14:textId="77777777" w:rsidR="00D77620" w:rsidRDefault="00D77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8220" w14:textId="77777777" w:rsidR="00F40EE5" w:rsidRDefault="00F40EE5" w:rsidP="00D77620">
      <w:pPr>
        <w:spacing w:after="0" w:line="240" w:lineRule="auto"/>
      </w:pPr>
      <w:r>
        <w:separator/>
      </w:r>
    </w:p>
  </w:footnote>
  <w:footnote w:type="continuationSeparator" w:id="0">
    <w:p w14:paraId="7824050F" w14:textId="77777777" w:rsidR="00F40EE5" w:rsidRDefault="00F40EE5" w:rsidP="00D7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1DBA"/>
    <w:multiLevelType w:val="multilevel"/>
    <w:tmpl w:val="229A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87F46"/>
    <w:multiLevelType w:val="multilevel"/>
    <w:tmpl w:val="D47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D11D2"/>
    <w:multiLevelType w:val="multilevel"/>
    <w:tmpl w:val="4316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0179CC"/>
    <w:multiLevelType w:val="multilevel"/>
    <w:tmpl w:val="A4D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495FFC"/>
    <w:multiLevelType w:val="multilevel"/>
    <w:tmpl w:val="FE2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6C6018"/>
    <w:multiLevelType w:val="hybridMultilevel"/>
    <w:tmpl w:val="EA58EF08"/>
    <w:lvl w:ilvl="0" w:tplc="1C486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9065">
    <w:abstractNumId w:val="5"/>
  </w:num>
  <w:num w:numId="2" w16cid:durableId="1454910208">
    <w:abstractNumId w:val="2"/>
  </w:num>
  <w:num w:numId="3" w16cid:durableId="1980920886">
    <w:abstractNumId w:val="6"/>
  </w:num>
  <w:num w:numId="4" w16cid:durableId="706874249">
    <w:abstractNumId w:val="3"/>
  </w:num>
  <w:num w:numId="5" w16cid:durableId="1396666385">
    <w:abstractNumId w:val="1"/>
  </w:num>
  <w:num w:numId="6" w16cid:durableId="1018891243">
    <w:abstractNumId w:val="0"/>
  </w:num>
  <w:num w:numId="7" w16cid:durableId="1470827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66"/>
    <w:rsid w:val="00005176"/>
    <w:rsid w:val="00017037"/>
    <w:rsid w:val="00041670"/>
    <w:rsid w:val="00044151"/>
    <w:rsid w:val="0005271E"/>
    <w:rsid w:val="0007284D"/>
    <w:rsid w:val="00085B7E"/>
    <w:rsid w:val="00095F33"/>
    <w:rsid w:val="000A4EA2"/>
    <w:rsid w:val="000B29A4"/>
    <w:rsid w:val="000C7547"/>
    <w:rsid w:val="000D2B56"/>
    <w:rsid w:val="000E045E"/>
    <w:rsid w:val="000E42CB"/>
    <w:rsid w:val="000E66FF"/>
    <w:rsid w:val="000E6FE9"/>
    <w:rsid w:val="000F69FF"/>
    <w:rsid w:val="00105A74"/>
    <w:rsid w:val="001161A8"/>
    <w:rsid w:val="00120A19"/>
    <w:rsid w:val="00125677"/>
    <w:rsid w:val="001261B0"/>
    <w:rsid w:val="0013036E"/>
    <w:rsid w:val="00134F77"/>
    <w:rsid w:val="001675BA"/>
    <w:rsid w:val="001828D0"/>
    <w:rsid w:val="00184A2E"/>
    <w:rsid w:val="00197889"/>
    <w:rsid w:val="001A3D25"/>
    <w:rsid w:val="001D3F77"/>
    <w:rsid w:val="001F3177"/>
    <w:rsid w:val="00207CAA"/>
    <w:rsid w:val="0022313F"/>
    <w:rsid w:val="0022546F"/>
    <w:rsid w:val="0023782C"/>
    <w:rsid w:val="002578A1"/>
    <w:rsid w:val="0026045B"/>
    <w:rsid w:val="00272D0F"/>
    <w:rsid w:val="00276359"/>
    <w:rsid w:val="002849D0"/>
    <w:rsid w:val="00295466"/>
    <w:rsid w:val="002A7464"/>
    <w:rsid w:val="002A7D94"/>
    <w:rsid w:val="002D06D6"/>
    <w:rsid w:val="002D7AF9"/>
    <w:rsid w:val="002E0F1A"/>
    <w:rsid w:val="002E6E98"/>
    <w:rsid w:val="002F3B03"/>
    <w:rsid w:val="0032318B"/>
    <w:rsid w:val="00344BA8"/>
    <w:rsid w:val="0034539D"/>
    <w:rsid w:val="00350322"/>
    <w:rsid w:val="00352459"/>
    <w:rsid w:val="00360CC0"/>
    <w:rsid w:val="0036471C"/>
    <w:rsid w:val="00381EB2"/>
    <w:rsid w:val="0038765E"/>
    <w:rsid w:val="003A1900"/>
    <w:rsid w:val="003B37A2"/>
    <w:rsid w:val="003B3E3C"/>
    <w:rsid w:val="003D175D"/>
    <w:rsid w:val="003E1F67"/>
    <w:rsid w:val="003F057F"/>
    <w:rsid w:val="003F0F40"/>
    <w:rsid w:val="003F784C"/>
    <w:rsid w:val="004105C6"/>
    <w:rsid w:val="00441417"/>
    <w:rsid w:val="00450CBE"/>
    <w:rsid w:val="00471BCD"/>
    <w:rsid w:val="004B7D1E"/>
    <w:rsid w:val="004C1EEA"/>
    <w:rsid w:val="004C4A59"/>
    <w:rsid w:val="00501534"/>
    <w:rsid w:val="00502A95"/>
    <w:rsid w:val="0050397C"/>
    <w:rsid w:val="00505EE7"/>
    <w:rsid w:val="00524941"/>
    <w:rsid w:val="00535494"/>
    <w:rsid w:val="00544CC3"/>
    <w:rsid w:val="00550B1D"/>
    <w:rsid w:val="00562BE4"/>
    <w:rsid w:val="00563120"/>
    <w:rsid w:val="0057668F"/>
    <w:rsid w:val="00593C64"/>
    <w:rsid w:val="00595B9D"/>
    <w:rsid w:val="005B045B"/>
    <w:rsid w:val="005C61AE"/>
    <w:rsid w:val="005E0263"/>
    <w:rsid w:val="00623F6D"/>
    <w:rsid w:val="00632952"/>
    <w:rsid w:val="00635920"/>
    <w:rsid w:val="00652E63"/>
    <w:rsid w:val="00662F64"/>
    <w:rsid w:val="00663F61"/>
    <w:rsid w:val="0067325F"/>
    <w:rsid w:val="00673D3C"/>
    <w:rsid w:val="006761D4"/>
    <w:rsid w:val="0069170B"/>
    <w:rsid w:val="006A1205"/>
    <w:rsid w:val="006A3A3A"/>
    <w:rsid w:val="006B76A3"/>
    <w:rsid w:val="006C2089"/>
    <w:rsid w:val="006C6C4A"/>
    <w:rsid w:val="006D0F1A"/>
    <w:rsid w:val="006E09D3"/>
    <w:rsid w:val="006E11EB"/>
    <w:rsid w:val="006E2F9B"/>
    <w:rsid w:val="006F0522"/>
    <w:rsid w:val="006F2A27"/>
    <w:rsid w:val="006F58E8"/>
    <w:rsid w:val="006F5C73"/>
    <w:rsid w:val="00735946"/>
    <w:rsid w:val="007376ED"/>
    <w:rsid w:val="007378FF"/>
    <w:rsid w:val="00740B99"/>
    <w:rsid w:val="007476B4"/>
    <w:rsid w:val="00747ADC"/>
    <w:rsid w:val="0075284E"/>
    <w:rsid w:val="0076091E"/>
    <w:rsid w:val="0076240D"/>
    <w:rsid w:val="00764126"/>
    <w:rsid w:val="00783928"/>
    <w:rsid w:val="007A5E57"/>
    <w:rsid w:val="007B38B3"/>
    <w:rsid w:val="007E22D8"/>
    <w:rsid w:val="007E6BE7"/>
    <w:rsid w:val="008015B0"/>
    <w:rsid w:val="008158BB"/>
    <w:rsid w:val="0081774D"/>
    <w:rsid w:val="0082070D"/>
    <w:rsid w:val="00821DF6"/>
    <w:rsid w:val="00825BB3"/>
    <w:rsid w:val="0082755A"/>
    <w:rsid w:val="008310B6"/>
    <w:rsid w:val="00842007"/>
    <w:rsid w:val="00851B38"/>
    <w:rsid w:val="00872F80"/>
    <w:rsid w:val="0087304A"/>
    <w:rsid w:val="008751DF"/>
    <w:rsid w:val="00883C8E"/>
    <w:rsid w:val="008956A4"/>
    <w:rsid w:val="00896DF6"/>
    <w:rsid w:val="008B7C9C"/>
    <w:rsid w:val="008E10B7"/>
    <w:rsid w:val="008F4371"/>
    <w:rsid w:val="00921B80"/>
    <w:rsid w:val="009577A8"/>
    <w:rsid w:val="00964C17"/>
    <w:rsid w:val="00976DF7"/>
    <w:rsid w:val="00990441"/>
    <w:rsid w:val="00990E4D"/>
    <w:rsid w:val="009E3FA8"/>
    <w:rsid w:val="009F1027"/>
    <w:rsid w:val="00A07A03"/>
    <w:rsid w:val="00A10A5E"/>
    <w:rsid w:val="00A14284"/>
    <w:rsid w:val="00A17956"/>
    <w:rsid w:val="00A20AC0"/>
    <w:rsid w:val="00A239AC"/>
    <w:rsid w:val="00A23B88"/>
    <w:rsid w:val="00A26A66"/>
    <w:rsid w:val="00A301E7"/>
    <w:rsid w:val="00A305E4"/>
    <w:rsid w:val="00A372F6"/>
    <w:rsid w:val="00A54640"/>
    <w:rsid w:val="00A71662"/>
    <w:rsid w:val="00A72CA9"/>
    <w:rsid w:val="00A91AF3"/>
    <w:rsid w:val="00AA2260"/>
    <w:rsid w:val="00AA5F52"/>
    <w:rsid w:val="00AD0FC5"/>
    <w:rsid w:val="00AD5293"/>
    <w:rsid w:val="00AE3806"/>
    <w:rsid w:val="00B06823"/>
    <w:rsid w:val="00B06CD2"/>
    <w:rsid w:val="00B22E69"/>
    <w:rsid w:val="00B22FDA"/>
    <w:rsid w:val="00B31A6A"/>
    <w:rsid w:val="00B34244"/>
    <w:rsid w:val="00B4103B"/>
    <w:rsid w:val="00B4377B"/>
    <w:rsid w:val="00B438C3"/>
    <w:rsid w:val="00B56AF1"/>
    <w:rsid w:val="00B62871"/>
    <w:rsid w:val="00B805FB"/>
    <w:rsid w:val="00BB4F84"/>
    <w:rsid w:val="00BB5C50"/>
    <w:rsid w:val="00BD2F6E"/>
    <w:rsid w:val="00BE09B7"/>
    <w:rsid w:val="00BE2132"/>
    <w:rsid w:val="00BE26C4"/>
    <w:rsid w:val="00BE7FDA"/>
    <w:rsid w:val="00BF1D73"/>
    <w:rsid w:val="00C11012"/>
    <w:rsid w:val="00C166F3"/>
    <w:rsid w:val="00C22D64"/>
    <w:rsid w:val="00C32F0A"/>
    <w:rsid w:val="00C35483"/>
    <w:rsid w:val="00C365CF"/>
    <w:rsid w:val="00C42338"/>
    <w:rsid w:val="00C5621E"/>
    <w:rsid w:val="00C73E7D"/>
    <w:rsid w:val="00C80523"/>
    <w:rsid w:val="00C81A46"/>
    <w:rsid w:val="00C93C5B"/>
    <w:rsid w:val="00CA4E76"/>
    <w:rsid w:val="00CB7832"/>
    <w:rsid w:val="00CD4D7B"/>
    <w:rsid w:val="00CD758D"/>
    <w:rsid w:val="00CE0CA0"/>
    <w:rsid w:val="00CF67AD"/>
    <w:rsid w:val="00CF7C86"/>
    <w:rsid w:val="00D122BC"/>
    <w:rsid w:val="00D2124D"/>
    <w:rsid w:val="00D23D0A"/>
    <w:rsid w:val="00D26E35"/>
    <w:rsid w:val="00D50256"/>
    <w:rsid w:val="00D60012"/>
    <w:rsid w:val="00D660DE"/>
    <w:rsid w:val="00D73489"/>
    <w:rsid w:val="00D7682B"/>
    <w:rsid w:val="00D77620"/>
    <w:rsid w:val="00D832D7"/>
    <w:rsid w:val="00D86188"/>
    <w:rsid w:val="00D90318"/>
    <w:rsid w:val="00DA49A8"/>
    <w:rsid w:val="00DF157C"/>
    <w:rsid w:val="00DF273C"/>
    <w:rsid w:val="00E2550E"/>
    <w:rsid w:val="00E354DB"/>
    <w:rsid w:val="00E63C7D"/>
    <w:rsid w:val="00E71324"/>
    <w:rsid w:val="00E73E21"/>
    <w:rsid w:val="00E7533E"/>
    <w:rsid w:val="00E92254"/>
    <w:rsid w:val="00E96794"/>
    <w:rsid w:val="00EA643F"/>
    <w:rsid w:val="00EB130B"/>
    <w:rsid w:val="00ED2964"/>
    <w:rsid w:val="00ED346C"/>
    <w:rsid w:val="00ED6598"/>
    <w:rsid w:val="00EE53ED"/>
    <w:rsid w:val="00F01F5A"/>
    <w:rsid w:val="00F23C78"/>
    <w:rsid w:val="00F326E5"/>
    <w:rsid w:val="00F3301C"/>
    <w:rsid w:val="00F40EE5"/>
    <w:rsid w:val="00F447A0"/>
    <w:rsid w:val="00F45A4B"/>
    <w:rsid w:val="00F47673"/>
    <w:rsid w:val="00F54661"/>
    <w:rsid w:val="00F56CD0"/>
    <w:rsid w:val="00F91DF4"/>
    <w:rsid w:val="00F979C1"/>
    <w:rsid w:val="00FA0042"/>
    <w:rsid w:val="00FB6134"/>
    <w:rsid w:val="00FC1490"/>
    <w:rsid w:val="00FC38FD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0CAD"/>
  <w15:chartTrackingRefBased/>
  <w15:docId w15:val="{919BBC9F-5F33-4372-975A-6147C8A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66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295466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kern w:val="0"/>
      <w:sz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466"/>
    <w:rPr>
      <w:rFonts w:ascii="Arial" w:eastAsia="Arial" w:hAnsi="Arial" w:cs="Arial"/>
      <w:b/>
      <w:color w:val="000000"/>
      <w:kern w:val="0"/>
      <w:sz w:val="32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9546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95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95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5466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20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20"/>
    <w:rPr>
      <w:rFonts w:ascii="Calibri" w:eastAsia="Calibri" w:hAnsi="Calibri" w:cs="Calibri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TaxCatchAll xmlns="c9c789c0-fd82-4d8f-8fb9-ffed7a08458a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CE8EB-3AE4-4FE5-A7CF-B99AC09CC932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1D2E5C5E-ADCC-41F6-86E7-843137C1A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4C7C8-45AF-49FE-A044-55598457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Muir</dc:creator>
  <cp:keywords/>
  <dc:description/>
  <cp:lastModifiedBy>Penny Muir</cp:lastModifiedBy>
  <cp:revision>252</cp:revision>
  <dcterms:created xsi:type="dcterms:W3CDTF">2024-03-05T16:10:00Z</dcterms:created>
  <dcterms:modified xsi:type="dcterms:W3CDTF">2024-03-12T10:15:00Z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