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8D1C66" w14:textId="77777777" w:rsidR="005438C6" w:rsidRDefault="005438C6" w:rsidP="005438C6">
      <w:pPr>
        <w:spacing w:after="52"/>
      </w:pPr>
      <w:r>
        <w:rPr>
          <w:noProof/>
        </w:rPr>
        <w:drawing>
          <wp:anchor distT="0" distB="0" distL="114300" distR="114300" simplePos="0" relativeHeight="251659264" behindDoc="0" locked="0" layoutInCell="1" allowOverlap="0" wp14:anchorId="266204AC" wp14:editId="1959EFE9">
            <wp:simplePos x="0" y="0"/>
            <wp:positionH relativeFrom="column">
              <wp:posOffset>5428488</wp:posOffset>
            </wp:positionH>
            <wp:positionV relativeFrom="paragraph">
              <wp:posOffset>-29255</wp:posOffset>
            </wp:positionV>
            <wp:extent cx="899160" cy="1031748"/>
            <wp:effectExtent l="0" t="0" r="0" b="0"/>
            <wp:wrapSquare wrapText="bothSides"/>
            <wp:docPr id="3" name="Picture 3"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10"/>
                    <a:stretch>
                      <a:fillRect/>
                    </a:stretch>
                  </pic:blipFill>
                  <pic:spPr>
                    <a:xfrm>
                      <a:off x="0" y="0"/>
                      <a:ext cx="899160" cy="1031748"/>
                    </a:xfrm>
                    <a:prstGeom prst="rect">
                      <a:avLst/>
                    </a:prstGeom>
                  </pic:spPr>
                </pic:pic>
              </a:graphicData>
            </a:graphic>
          </wp:anchor>
        </w:drawing>
      </w:r>
      <w:r>
        <w:rPr>
          <w:rFonts w:ascii="Arial" w:eastAsia="Arial" w:hAnsi="Arial" w:cs="Arial"/>
          <w:b/>
          <w:sz w:val="32"/>
        </w:rPr>
        <w:t xml:space="preserve">BOARD OF MANAGEMENT </w:t>
      </w:r>
    </w:p>
    <w:p w14:paraId="2C875A96" w14:textId="77777777" w:rsidR="005438C6" w:rsidRDefault="005438C6" w:rsidP="005438C6">
      <w:pPr>
        <w:spacing w:after="0"/>
      </w:pPr>
      <w:r>
        <w:rPr>
          <w:rFonts w:ascii="Arial" w:eastAsia="Arial" w:hAnsi="Arial" w:cs="Arial"/>
          <w:b/>
          <w:sz w:val="32"/>
        </w:rPr>
        <w:t xml:space="preserve"> </w:t>
      </w:r>
    </w:p>
    <w:p w14:paraId="5FAAE4B0" w14:textId="77777777" w:rsidR="005438C6" w:rsidRDefault="005438C6" w:rsidP="005438C6">
      <w:pPr>
        <w:pStyle w:val="Heading1"/>
        <w:ind w:left="-5"/>
      </w:pPr>
      <w:r>
        <w:t xml:space="preserve">Audit &amp; Risk Committee  </w:t>
      </w:r>
    </w:p>
    <w:p w14:paraId="3A14169E" w14:textId="77777777" w:rsidR="005438C6" w:rsidRDefault="005438C6" w:rsidP="005438C6">
      <w:pPr>
        <w:spacing w:after="0"/>
      </w:pPr>
      <w:r>
        <w:rPr>
          <w:rFonts w:ascii="Arial" w:eastAsia="Arial" w:hAnsi="Arial" w:cs="Arial"/>
          <w:b/>
          <w:sz w:val="32"/>
        </w:rPr>
        <w:t xml:space="preserve"> </w:t>
      </w:r>
    </w:p>
    <w:p w14:paraId="2FB48DB5" w14:textId="73975D04" w:rsidR="005438C6" w:rsidRPr="00075B9A" w:rsidRDefault="005438C6" w:rsidP="005438C6">
      <w:pPr>
        <w:spacing w:after="0" w:line="239" w:lineRule="auto"/>
        <w:ind w:right="3928"/>
        <w:rPr>
          <w:rFonts w:ascii="Arial" w:eastAsia="Arial" w:hAnsi="Arial" w:cs="Arial"/>
          <w:sz w:val="28"/>
        </w:rPr>
      </w:pPr>
      <w:r>
        <w:rPr>
          <w:rFonts w:ascii="Arial" w:eastAsia="Arial" w:hAnsi="Arial" w:cs="Arial"/>
          <w:sz w:val="28"/>
        </w:rPr>
        <w:t xml:space="preserve">Tuesday 7 March 2023 at 5.00pm </w:t>
      </w:r>
      <w:r>
        <w:rPr>
          <w:rFonts w:ascii="Arial" w:eastAsia="Arial" w:hAnsi="Arial" w:cs="Arial"/>
          <w:b/>
          <w:sz w:val="20"/>
        </w:rPr>
        <w:t xml:space="preserve"> </w:t>
      </w:r>
    </w:p>
    <w:p w14:paraId="3CAD1838" w14:textId="77777777" w:rsidR="005438C6" w:rsidRDefault="005438C6" w:rsidP="005438C6">
      <w:pPr>
        <w:spacing w:after="0"/>
        <w:ind w:left="-150" w:right="-279"/>
        <w:jc w:val="center"/>
      </w:pPr>
      <w:r>
        <w:rPr>
          <w:noProof/>
        </w:rPr>
        <mc:AlternateContent>
          <mc:Choice Requires="wpg">
            <w:drawing>
              <wp:inline distT="0" distB="0" distL="0" distR="0" wp14:anchorId="2A5584AE" wp14:editId="2DCFC22E">
                <wp:extent cx="6424295" cy="19050"/>
                <wp:effectExtent l="0" t="0" r="0" b="0"/>
                <wp:docPr id="1" name="Group 1"/>
                <wp:cNvGraphicFramePr/>
                <a:graphic xmlns:a="http://schemas.openxmlformats.org/drawingml/2006/main">
                  <a:graphicData uri="http://schemas.microsoft.com/office/word/2010/wordprocessingGroup">
                    <wpg:wgp>
                      <wpg:cNvGrpSpPr/>
                      <wpg:grpSpPr>
                        <a:xfrm>
                          <a:off x="0" y="0"/>
                          <a:ext cx="6424295" cy="19050"/>
                          <a:chOff x="0" y="0"/>
                          <a:chExt cx="6424295" cy="19050"/>
                        </a:xfrm>
                      </wpg:grpSpPr>
                      <wps:wsp>
                        <wps:cNvPr id="2" name="Shape 186"/>
                        <wps:cNvSpPr/>
                        <wps:spPr>
                          <a:xfrm>
                            <a:off x="0" y="0"/>
                            <a:ext cx="6424295" cy="19050"/>
                          </a:xfrm>
                          <a:custGeom>
                            <a:avLst/>
                            <a:gdLst/>
                            <a:ahLst/>
                            <a:cxnLst/>
                            <a:rect l="0" t="0" r="0" b="0"/>
                            <a:pathLst>
                              <a:path w="6424295" h="19050">
                                <a:moveTo>
                                  <a:pt x="0" y="19050"/>
                                </a:moveTo>
                                <a:lnTo>
                                  <a:pt x="6424295" y="0"/>
                                </a:lnTo>
                              </a:path>
                            </a:pathLst>
                          </a:custGeom>
                          <a:ln w="19812"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D665825" id="Group 1" o:spid="_x0000_s1026" style="width:505.85pt;height:1.5pt;mso-position-horizontal-relative:char;mso-position-vertical-relative:line" coordsize="64242,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">
                <v:shape id="Shape 186" o:spid="_x0000_s1027" style="position:absolute;width:64242;height:190;visibility:visible;mso-wrap-style:square;v-text-anchor:top" coordsize="6424295,19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" path="m,19050l6424295,e" filled="f" strokeweight="1.56pt">
                  <v:path arrowok="t" textboxrect="0,0,6424295,19050"/>
                </v:shape>
                <w10:anchorlock/>
              </v:group>
            </w:pict>
          </mc:Fallback>
        </mc:AlternateContent>
      </w:r>
      <w:r>
        <w:rPr>
          <w:rFonts w:ascii="Arial" w:eastAsia="Arial" w:hAnsi="Arial" w:cs="Arial"/>
          <w:b/>
          <w:sz w:val="26"/>
        </w:rPr>
        <w:t xml:space="preserve"> </w:t>
      </w:r>
    </w:p>
    <w:p w14:paraId="5786F06A" w14:textId="77777777" w:rsidR="005438C6" w:rsidRDefault="005438C6" w:rsidP="005438C6">
      <w:pPr>
        <w:spacing w:after="0"/>
        <w:ind w:left="12"/>
        <w:jc w:val="center"/>
      </w:pPr>
      <w:r>
        <w:rPr>
          <w:rFonts w:ascii="Arial" w:eastAsia="Arial" w:hAnsi="Arial" w:cs="Arial"/>
          <w:b/>
        </w:rPr>
        <w:t xml:space="preserve"> </w:t>
      </w:r>
    </w:p>
    <w:p w14:paraId="6EC1E4B4" w14:textId="7D236537" w:rsidR="005438C6" w:rsidRDefault="005438C6" w:rsidP="005438C6">
      <w:pPr>
        <w:pStyle w:val="BodyText"/>
        <w:ind w:right="825"/>
      </w:pPr>
      <w:r>
        <w:t xml:space="preserve">Minute of the Audit &amp; Risk Committee meeting held on Tuesday 7 March 2023 at 5.00pm via Microsoft Teams </w:t>
      </w:r>
    </w:p>
    <w:p w14:paraId="1AEDA2E8" w14:textId="77777777" w:rsidR="005438C6" w:rsidRDefault="005438C6" w:rsidP="005438C6">
      <w:pPr>
        <w:pStyle w:val="BodyText"/>
        <w:spacing w:before="4"/>
        <w:rPr>
          <w:sz w:val="13"/>
        </w:rPr>
      </w:pPr>
    </w:p>
    <w:tbl>
      <w:tblPr>
        <w:tblW w:w="9985" w:type="dxa"/>
        <w:tblLayout w:type="fixed"/>
        <w:tblCellMar>
          <w:left w:w="0" w:type="dxa"/>
          <w:right w:w="0" w:type="dxa"/>
        </w:tblCellMar>
        <w:tblLook w:val="01E0" w:firstRow="1" w:lastRow="1" w:firstColumn="1" w:lastColumn="1" w:noHBand="0" w:noVBand="0"/>
      </w:tblPr>
      <w:tblGrid>
        <w:gridCol w:w="2122"/>
        <w:gridCol w:w="3685"/>
        <w:gridCol w:w="4178"/>
      </w:tblGrid>
      <w:tr w:rsidR="005438C6" w:rsidRPr="00E734F3" w14:paraId="38C3DD2F" w14:textId="77777777" w:rsidTr="00582FD1">
        <w:trPr>
          <w:trHeight w:val="252"/>
        </w:trPr>
        <w:tc>
          <w:tcPr>
            <w:tcW w:w="2122" w:type="dxa"/>
          </w:tcPr>
          <w:p w14:paraId="298F6CA8" w14:textId="77777777" w:rsidR="005438C6" w:rsidRPr="00E734F3" w:rsidRDefault="005438C6" w:rsidP="002B1C5E">
            <w:pPr>
              <w:pStyle w:val="TableParagraph"/>
              <w:rPr>
                <w:b/>
                <w:lang w:val="en-GB"/>
              </w:rPr>
            </w:pPr>
            <w:r w:rsidRPr="00E734F3">
              <w:rPr>
                <w:b/>
                <w:lang w:val="en-GB"/>
              </w:rPr>
              <w:t>PRESENT:</w:t>
            </w:r>
          </w:p>
        </w:tc>
        <w:tc>
          <w:tcPr>
            <w:tcW w:w="3685" w:type="dxa"/>
          </w:tcPr>
          <w:p w14:paraId="7E4842B8" w14:textId="77777777" w:rsidR="005438C6" w:rsidRPr="00E734F3" w:rsidRDefault="005438C6" w:rsidP="002B1C5E">
            <w:pPr>
              <w:pStyle w:val="TableParagraph"/>
              <w:rPr>
                <w:lang w:val="en-GB"/>
              </w:rPr>
            </w:pPr>
            <w:r w:rsidRPr="00E734F3">
              <w:rPr>
                <w:lang w:val="en-GB"/>
              </w:rPr>
              <w:t>H Honeyman</w:t>
            </w:r>
            <w:r>
              <w:rPr>
                <w:lang w:val="en-GB"/>
              </w:rPr>
              <w:t xml:space="preserve"> </w:t>
            </w:r>
            <w:r w:rsidRPr="00E734F3">
              <w:rPr>
                <w:lang w:val="en-GB"/>
              </w:rPr>
              <w:t>(Chair Audit)</w:t>
            </w:r>
          </w:p>
        </w:tc>
        <w:tc>
          <w:tcPr>
            <w:tcW w:w="4178" w:type="dxa"/>
          </w:tcPr>
          <w:p w14:paraId="353476F1" w14:textId="3BCFDB6D" w:rsidR="005438C6" w:rsidRPr="00E734F3" w:rsidRDefault="005438C6" w:rsidP="002B1C5E">
            <w:pPr>
              <w:pStyle w:val="TableParagraph"/>
              <w:rPr>
                <w:lang w:val="en-GB"/>
              </w:rPr>
            </w:pPr>
            <w:r>
              <w:rPr>
                <w:lang w:val="en-GB"/>
              </w:rPr>
              <w:t>K Keay</w:t>
            </w:r>
          </w:p>
        </w:tc>
      </w:tr>
      <w:tr w:rsidR="005438C6" w:rsidRPr="00E734F3" w14:paraId="32E83FB7" w14:textId="77777777" w:rsidTr="00582FD1">
        <w:trPr>
          <w:trHeight w:val="253"/>
        </w:trPr>
        <w:tc>
          <w:tcPr>
            <w:tcW w:w="2122" w:type="dxa"/>
          </w:tcPr>
          <w:p w14:paraId="4D09218D" w14:textId="77777777" w:rsidR="005438C6" w:rsidRPr="00E734F3" w:rsidRDefault="005438C6" w:rsidP="002B1C5E">
            <w:pPr>
              <w:pStyle w:val="TableParagraph"/>
              <w:rPr>
                <w:rFonts w:ascii="Times New Roman"/>
                <w:sz w:val="18"/>
                <w:lang w:val="en-GB"/>
              </w:rPr>
            </w:pPr>
          </w:p>
        </w:tc>
        <w:tc>
          <w:tcPr>
            <w:tcW w:w="3685" w:type="dxa"/>
          </w:tcPr>
          <w:p w14:paraId="7258F104" w14:textId="77777777" w:rsidR="005438C6" w:rsidRPr="00E734F3" w:rsidRDefault="005438C6" w:rsidP="002B1C5E">
            <w:pPr>
              <w:pStyle w:val="TableParagraph"/>
              <w:rPr>
                <w:lang w:val="en-GB"/>
              </w:rPr>
            </w:pPr>
            <w:r w:rsidRPr="00E734F3">
              <w:rPr>
                <w:lang w:val="en-GB"/>
              </w:rPr>
              <w:t xml:space="preserve">M </w:t>
            </w:r>
            <w:r>
              <w:rPr>
                <w:lang w:val="en-GB"/>
              </w:rPr>
              <w:t>Williamson</w:t>
            </w:r>
          </w:p>
        </w:tc>
        <w:tc>
          <w:tcPr>
            <w:tcW w:w="4178" w:type="dxa"/>
          </w:tcPr>
          <w:p w14:paraId="59231BA4" w14:textId="77777777" w:rsidR="005438C6" w:rsidRPr="00E734F3" w:rsidRDefault="005438C6" w:rsidP="002B1C5E">
            <w:pPr>
              <w:pStyle w:val="TableParagraph"/>
              <w:rPr>
                <w:lang w:val="en-GB"/>
              </w:rPr>
            </w:pPr>
            <w:r>
              <w:rPr>
                <w:lang w:val="en-GB"/>
              </w:rPr>
              <w:t>R McLellan</w:t>
            </w:r>
          </w:p>
        </w:tc>
      </w:tr>
      <w:tr w:rsidR="005438C6" w:rsidRPr="00E734F3" w14:paraId="0EC1B34B" w14:textId="77777777" w:rsidTr="00582FD1">
        <w:trPr>
          <w:trHeight w:val="250"/>
        </w:trPr>
        <w:tc>
          <w:tcPr>
            <w:tcW w:w="2122" w:type="dxa"/>
          </w:tcPr>
          <w:p w14:paraId="12E120DB" w14:textId="77777777" w:rsidR="005438C6" w:rsidRPr="00E734F3" w:rsidRDefault="005438C6" w:rsidP="002B1C5E">
            <w:pPr>
              <w:pStyle w:val="TableParagraph"/>
              <w:rPr>
                <w:rFonts w:ascii="Times New Roman"/>
                <w:sz w:val="18"/>
                <w:lang w:val="en-GB"/>
              </w:rPr>
            </w:pPr>
          </w:p>
        </w:tc>
        <w:tc>
          <w:tcPr>
            <w:tcW w:w="3685" w:type="dxa"/>
          </w:tcPr>
          <w:p w14:paraId="61B62F13" w14:textId="77777777" w:rsidR="005438C6" w:rsidRPr="00E734F3" w:rsidRDefault="005438C6" w:rsidP="002B1C5E">
            <w:pPr>
              <w:pStyle w:val="TableParagraph"/>
              <w:rPr>
                <w:lang w:val="en-GB"/>
              </w:rPr>
            </w:pPr>
            <w:r>
              <w:rPr>
                <w:lang w:val="en-GB"/>
              </w:rPr>
              <w:t>K Ditcham</w:t>
            </w:r>
          </w:p>
        </w:tc>
        <w:tc>
          <w:tcPr>
            <w:tcW w:w="4178" w:type="dxa"/>
          </w:tcPr>
          <w:p w14:paraId="2538CA9D" w14:textId="3F16D766" w:rsidR="005438C6" w:rsidRPr="00E734F3" w:rsidRDefault="00E07AB3" w:rsidP="002B1C5E">
            <w:pPr>
              <w:pStyle w:val="TableParagraph"/>
              <w:rPr>
                <w:lang w:val="en-GB"/>
              </w:rPr>
            </w:pPr>
            <w:r>
              <w:rPr>
                <w:lang w:val="en-GB"/>
              </w:rPr>
              <w:t>M Thomson</w:t>
            </w:r>
          </w:p>
        </w:tc>
      </w:tr>
      <w:tr w:rsidR="005438C6" w:rsidRPr="00E734F3" w14:paraId="0B3D8AD3" w14:textId="77777777" w:rsidTr="00582FD1">
        <w:trPr>
          <w:trHeight w:val="250"/>
        </w:trPr>
        <w:tc>
          <w:tcPr>
            <w:tcW w:w="2122" w:type="dxa"/>
          </w:tcPr>
          <w:p w14:paraId="3807F7F3" w14:textId="77777777" w:rsidR="005438C6" w:rsidRPr="00E734F3" w:rsidRDefault="005438C6" w:rsidP="002B1C5E">
            <w:pPr>
              <w:pStyle w:val="TableParagraph"/>
              <w:rPr>
                <w:rFonts w:ascii="Times New Roman"/>
                <w:sz w:val="18"/>
                <w:lang w:val="en-GB"/>
              </w:rPr>
            </w:pPr>
          </w:p>
        </w:tc>
        <w:tc>
          <w:tcPr>
            <w:tcW w:w="3685" w:type="dxa"/>
          </w:tcPr>
          <w:p w14:paraId="24BFE57E" w14:textId="77777777" w:rsidR="005438C6" w:rsidRPr="00E734F3" w:rsidRDefault="005438C6" w:rsidP="002B1C5E">
            <w:pPr>
              <w:pStyle w:val="TableParagraph"/>
              <w:rPr>
                <w:lang w:val="en-GB"/>
              </w:rPr>
            </w:pPr>
          </w:p>
        </w:tc>
        <w:tc>
          <w:tcPr>
            <w:tcW w:w="4178" w:type="dxa"/>
          </w:tcPr>
          <w:p w14:paraId="70D3DFCC" w14:textId="77777777" w:rsidR="005438C6" w:rsidRPr="00E734F3" w:rsidRDefault="005438C6" w:rsidP="002B1C5E">
            <w:pPr>
              <w:pStyle w:val="TableParagraph"/>
              <w:rPr>
                <w:rFonts w:ascii="Times New Roman"/>
                <w:sz w:val="18"/>
                <w:lang w:val="en-GB"/>
              </w:rPr>
            </w:pPr>
          </w:p>
        </w:tc>
      </w:tr>
      <w:tr w:rsidR="005438C6" w:rsidRPr="00E734F3" w14:paraId="4A04ED8E" w14:textId="77777777" w:rsidTr="00582FD1">
        <w:trPr>
          <w:trHeight w:val="251"/>
        </w:trPr>
        <w:tc>
          <w:tcPr>
            <w:tcW w:w="2122" w:type="dxa"/>
          </w:tcPr>
          <w:p w14:paraId="530381EA" w14:textId="77777777" w:rsidR="005438C6" w:rsidRPr="00E734F3" w:rsidRDefault="005438C6" w:rsidP="002B1C5E">
            <w:pPr>
              <w:pStyle w:val="TableParagraph"/>
              <w:rPr>
                <w:b/>
                <w:lang w:val="en-GB"/>
              </w:rPr>
            </w:pPr>
            <w:r w:rsidRPr="00E734F3">
              <w:rPr>
                <w:b/>
                <w:lang w:val="en-GB"/>
              </w:rPr>
              <w:t>IN ATTENDANCE:</w:t>
            </w:r>
          </w:p>
        </w:tc>
        <w:tc>
          <w:tcPr>
            <w:tcW w:w="3685" w:type="dxa"/>
          </w:tcPr>
          <w:p w14:paraId="489BCFDD" w14:textId="77777777" w:rsidR="005438C6" w:rsidRPr="00E734F3" w:rsidRDefault="005438C6" w:rsidP="002B1C5E">
            <w:pPr>
              <w:pStyle w:val="TableParagraph"/>
              <w:rPr>
                <w:lang w:val="en-GB"/>
              </w:rPr>
            </w:pPr>
            <w:r w:rsidRPr="00E734F3">
              <w:rPr>
                <w:lang w:val="en-GB"/>
              </w:rPr>
              <w:t>J Carnegie (Vice Principal)</w:t>
            </w:r>
          </w:p>
        </w:tc>
        <w:tc>
          <w:tcPr>
            <w:tcW w:w="4178" w:type="dxa"/>
          </w:tcPr>
          <w:p w14:paraId="1C8233AB" w14:textId="571B111A" w:rsidR="005438C6" w:rsidRPr="00E734F3" w:rsidRDefault="005438C6" w:rsidP="002B1C5E">
            <w:pPr>
              <w:pStyle w:val="TableParagraph"/>
              <w:rPr>
                <w:lang w:val="en-GB"/>
              </w:rPr>
            </w:pPr>
            <w:r>
              <w:rPr>
                <w:lang w:val="en-GB"/>
              </w:rPr>
              <w:t>P Muir</w:t>
            </w:r>
            <w:r w:rsidRPr="00E734F3">
              <w:rPr>
                <w:lang w:val="en-GB"/>
              </w:rPr>
              <w:t xml:space="preserve"> (</w:t>
            </w:r>
            <w:r>
              <w:rPr>
                <w:lang w:val="en-GB"/>
              </w:rPr>
              <w:t>Board Administrator</w:t>
            </w:r>
            <w:r w:rsidRPr="00E734F3">
              <w:rPr>
                <w:lang w:val="en-GB"/>
              </w:rPr>
              <w:t>)</w:t>
            </w:r>
          </w:p>
        </w:tc>
      </w:tr>
      <w:tr w:rsidR="005438C6" w:rsidRPr="00E734F3" w14:paraId="06D32CF8" w14:textId="77777777" w:rsidTr="00582FD1">
        <w:trPr>
          <w:trHeight w:val="251"/>
        </w:trPr>
        <w:tc>
          <w:tcPr>
            <w:tcW w:w="2122" w:type="dxa"/>
          </w:tcPr>
          <w:p w14:paraId="3A1A3089" w14:textId="77777777" w:rsidR="005438C6" w:rsidRPr="00E734F3" w:rsidRDefault="005438C6" w:rsidP="002B1C5E">
            <w:pPr>
              <w:pStyle w:val="TableParagraph"/>
              <w:rPr>
                <w:rFonts w:ascii="Times New Roman"/>
                <w:sz w:val="18"/>
                <w:lang w:val="en-GB"/>
              </w:rPr>
            </w:pPr>
          </w:p>
        </w:tc>
        <w:tc>
          <w:tcPr>
            <w:tcW w:w="3685" w:type="dxa"/>
          </w:tcPr>
          <w:p w14:paraId="19C4CA58" w14:textId="77777777" w:rsidR="005438C6" w:rsidRPr="00E734F3" w:rsidRDefault="005438C6" w:rsidP="002B1C5E">
            <w:pPr>
              <w:pStyle w:val="TableParagraph"/>
              <w:rPr>
                <w:lang w:val="en-GB"/>
              </w:rPr>
            </w:pPr>
            <w:r w:rsidRPr="00E734F3">
              <w:rPr>
                <w:lang w:val="en-GB"/>
              </w:rPr>
              <w:t>S Taylor (Vice Principal)</w:t>
            </w:r>
          </w:p>
        </w:tc>
        <w:tc>
          <w:tcPr>
            <w:tcW w:w="4178" w:type="dxa"/>
          </w:tcPr>
          <w:p w14:paraId="2D934BE4" w14:textId="77777777" w:rsidR="005438C6" w:rsidRPr="00E734F3" w:rsidRDefault="005438C6" w:rsidP="002B1C5E">
            <w:pPr>
              <w:pStyle w:val="TableParagraph"/>
              <w:rPr>
                <w:lang w:val="en-GB"/>
              </w:rPr>
            </w:pPr>
            <w:r w:rsidRPr="00E734F3">
              <w:rPr>
                <w:lang w:val="en-GB"/>
              </w:rPr>
              <w:t>D Archibald (Henderson Loggie)</w:t>
            </w:r>
          </w:p>
        </w:tc>
      </w:tr>
      <w:tr w:rsidR="005438C6" w:rsidRPr="00E734F3" w14:paraId="2D8F3151" w14:textId="77777777" w:rsidTr="00582FD1">
        <w:trPr>
          <w:trHeight w:val="253"/>
        </w:trPr>
        <w:tc>
          <w:tcPr>
            <w:tcW w:w="2122" w:type="dxa"/>
          </w:tcPr>
          <w:p w14:paraId="6E70CFFA" w14:textId="77777777" w:rsidR="005438C6" w:rsidRPr="00E734F3" w:rsidRDefault="005438C6" w:rsidP="002B1C5E">
            <w:pPr>
              <w:pStyle w:val="TableParagraph"/>
              <w:rPr>
                <w:rFonts w:ascii="Times New Roman"/>
                <w:sz w:val="18"/>
                <w:lang w:val="en-GB"/>
              </w:rPr>
            </w:pPr>
          </w:p>
        </w:tc>
        <w:tc>
          <w:tcPr>
            <w:tcW w:w="3685" w:type="dxa"/>
          </w:tcPr>
          <w:p w14:paraId="78E79843" w14:textId="4D7A4FD4" w:rsidR="005438C6" w:rsidRPr="00E734F3" w:rsidRDefault="005438C6" w:rsidP="002B1C5E">
            <w:pPr>
              <w:pStyle w:val="TableParagraph"/>
              <w:rPr>
                <w:lang w:val="en-GB"/>
              </w:rPr>
            </w:pPr>
            <w:r>
              <w:rPr>
                <w:lang w:val="en-GB"/>
              </w:rPr>
              <w:t>M Speight</w:t>
            </w:r>
            <w:r w:rsidRPr="00E734F3">
              <w:rPr>
                <w:lang w:val="en-GB"/>
              </w:rPr>
              <w:t xml:space="preserve"> (</w:t>
            </w:r>
            <w:r>
              <w:rPr>
                <w:lang w:val="en-GB"/>
              </w:rPr>
              <w:t>Mazar’s Audit</w:t>
            </w:r>
            <w:r w:rsidRPr="00E734F3">
              <w:rPr>
                <w:lang w:val="en-GB"/>
              </w:rPr>
              <w:t>)</w:t>
            </w:r>
          </w:p>
        </w:tc>
        <w:tc>
          <w:tcPr>
            <w:tcW w:w="4178" w:type="dxa"/>
          </w:tcPr>
          <w:p w14:paraId="67C938A6" w14:textId="67F2923A" w:rsidR="005438C6" w:rsidRPr="00E734F3" w:rsidRDefault="005438C6" w:rsidP="002B1C5E">
            <w:pPr>
              <w:pStyle w:val="TableParagraph"/>
              <w:rPr>
                <w:lang w:val="en-GB"/>
              </w:rPr>
            </w:pPr>
            <w:r>
              <w:rPr>
                <w:lang w:val="en-GB"/>
              </w:rPr>
              <w:t>J Carnegie (Vice Principal)</w:t>
            </w:r>
          </w:p>
        </w:tc>
      </w:tr>
    </w:tbl>
    <w:p w14:paraId="6963B150" w14:textId="77777777" w:rsidR="005438C6" w:rsidRDefault="005438C6" w:rsidP="005438C6"/>
    <w:p w14:paraId="43974F5F" w14:textId="77777777" w:rsidR="00B02BCB" w:rsidRDefault="00B02BCB" w:rsidP="005438C6"/>
    <w:tbl>
      <w:tblPr>
        <w:tblW w:w="9985" w:type="dxa"/>
        <w:tblLayout w:type="fixed"/>
        <w:tblCellMar>
          <w:left w:w="0" w:type="dxa"/>
          <w:right w:w="0" w:type="dxa"/>
        </w:tblCellMar>
        <w:tblLook w:val="01E0" w:firstRow="1" w:lastRow="1" w:firstColumn="1" w:lastColumn="1" w:noHBand="0" w:noVBand="0"/>
      </w:tblPr>
      <w:tblGrid>
        <w:gridCol w:w="567"/>
        <w:gridCol w:w="9418"/>
      </w:tblGrid>
      <w:tr w:rsidR="005438C6" w:rsidRPr="004C24FB" w14:paraId="3644D545" w14:textId="77777777" w:rsidTr="00B02BCB">
        <w:trPr>
          <w:trHeight w:val="490"/>
        </w:trPr>
        <w:tc>
          <w:tcPr>
            <w:tcW w:w="567" w:type="dxa"/>
          </w:tcPr>
          <w:p w14:paraId="30962F71" w14:textId="77777777" w:rsidR="005438C6" w:rsidRPr="004C24FB" w:rsidRDefault="005438C6" w:rsidP="001220D8">
            <w:pPr>
              <w:pStyle w:val="TableParagraph"/>
              <w:numPr>
                <w:ilvl w:val="0"/>
                <w:numId w:val="1"/>
              </w:numPr>
              <w:ind w:left="170" w:firstLine="0"/>
              <w:rPr>
                <w:b/>
                <w:lang w:val="en-GB"/>
              </w:rPr>
            </w:pPr>
            <w:r w:rsidRPr="004C24FB">
              <w:rPr>
                <w:sz w:val="24"/>
                <w:lang w:val="en-GB"/>
              </w:rPr>
              <w:t xml:space="preserve"> </w:t>
            </w:r>
          </w:p>
        </w:tc>
        <w:tc>
          <w:tcPr>
            <w:tcW w:w="9418" w:type="dxa"/>
          </w:tcPr>
          <w:p w14:paraId="0CA6D2AD" w14:textId="77777777" w:rsidR="005438C6" w:rsidRPr="004C24FB" w:rsidRDefault="005438C6" w:rsidP="00621C32">
            <w:pPr>
              <w:pStyle w:val="TableParagraph"/>
              <w:rPr>
                <w:b/>
                <w:lang w:val="en-GB"/>
              </w:rPr>
            </w:pPr>
            <w:r w:rsidRPr="004C24FB">
              <w:rPr>
                <w:b/>
                <w:lang w:val="en-GB"/>
              </w:rPr>
              <w:t>WELCOME</w:t>
            </w:r>
          </w:p>
          <w:p w14:paraId="76ECFB67" w14:textId="77777777" w:rsidR="005438C6" w:rsidRPr="004C24FB" w:rsidRDefault="005438C6" w:rsidP="00621C32">
            <w:pPr>
              <w:pStyle w:val="TableParagraph"/>
              <w:rPr>
                <w:b/>
                <w:lang w:val="en-GB"/>
              </w:rPr>
            </w:pPr>
          </w:p>
          <w:p w14:paraId="3C72628E" w14:textId="17107F2A" w:rsidR="005438C6" w:rsidRPr="004C24FB" w:rsidRDefault="005438C6" w:rsidP="00621C32">
            <w:pPr>
              <w:pStyle w:val="TableParagraph"/>
              <w:rPr>
                <w:lang w:val="en-GB"/>
              </w:rPr>
            </w:pPr>
            <w:r w:rsidRPr="004C24FB">
              <w:rPr>
                <w:lang w:val="en-GB"/>
              </w:rPr>
              <w:t>H Honeyman welcomed members of the Audit Committee</w:t>
            </w:r>
            <w:r w:rsidR="00582FD1" w:rsidRPr="004C24FB">
              <w:rPr>
                <w:lang w:val="en-GB"/>
              </w:rPr>
              <w:t xml:space="preserve"> and</w:t>
            </w:r>
            <w:r w:rsidRPr="004C24FB">
              <w:rPr>
                <w:lang w:val="en-GB"/>
              </w:rPr>
              <w:t xml:space="preserve"> welcomed M Speight to the meeting as the new Auditor’s for the College.</w:t>
            </w:r>
          </w:p>
          <w:p w14:paraId="487B1E43" w14:textId="1C4C76B3" w:rsidR="005438C6" w:rsidRPr="004C24FB" w:rsidRDefault="005438C6" w:rsidP="00621C32">
            <w:pPr>
              <w:pStyle w:val="TableParagraph"/>
              <w:rPr>
                <w:lang w:val="en-GB"/>
              </w:rPr>
            </w:pPr>
          </w:p>
        </w:tc>
      </w:tr>
      <w:tr w:rsidR="005438C6" w:rsidRPr="004C24FB" w14:paraId="36B53D99" w14:textId="77777777" w:rsidTr="00B02BCB">
        <w:trPr>
          <w:trHeight w:val="505"/>
        </w:trPr>
        <w:tc>
          <w:tcPr>
            <w:tcW w:w="567" w:type="dxa"/>
          </w:tcPr>
          <w:p w14:paraId="09B6853F" w14:textId="77777777" w:rsidR="005438C6" w:rsidRPr="004C24FB" w:rsidRDefault="005438C6" w:rsidP="001220D8">
            <w:pPr>
              <w:pStyle w:val="TableParagraph"/>
              <w:numPr>
                <w:ilvl w:val="0"/>
                <w:numId w:val="1"/>
              </w:numPr>
              <w:ind w:left="170" w:firstLine="0"/>
              <w:rPr>
                <w:b/>
                <w:lang w:val="en-GB"/>
              </w:rPr>
            </w:pPr>
          </w:p>
        </w:tc>
        <w:tc>
          <w:tcPr>
            <w:tcW w:w="9418" w:type="dxa"/>
          </w:tcPr>
          <w:p w14:paraId="3A2278CF" w14:textId="77777777" w:rsidR="005438C6" w:rsidRPr="004C24FB" w:rsidRDefault="005438C6" w:rsidP="00621C32">
            <w:pPr>
              <w:pStyle w:val="TableParagraph"/>
              <w:rPr>
                <w:b/>
                <w:lang w:val="en-GB"/>
              </w:rPr>
            </w:pPr>
            <w:r w:rsidRPr="004C24FB">
              <w:rPr>
                <w:b/>
                <w:lang w:val="en-GB"/>
              </w:rPr>
              <w:t>APOLOGIES</w:t>
            </w:r>
          </w:p>
          <w:p w14:paraId="57817C82" w14:textId="77777777" w:rsidR="005438C6" w:rsidRPr="004C24FB" w:rsidRDefault="005438C6" w:rsidP="00621C32">
            <w:pPr>
              <w:pStyle w:val="TableParagraph"/>
              <w:rPr>
                <w:b/>
                <w:lang w:val="en-GB"/>
              </w:rPr>
            </w:pPr>
          </w:p>
          <w:p w14:paraId="1D9262DE" w14:textId="13AD8789" w:rsidR="005438C6" w:rsidRPr="004C24FB" w:rsidRDefault="005438C6" w:rsidP="00621C32">
            <w:pPr>
              <w:pStyle w:val="TableParagraph"/>
              <w:rPr>
                <w:bCs/>
                <w:lang w:val="en-GB"/>
              </w:rPr>
            </w:pPr>
            <w:r w:rsidRPr="004C24FB">
              <w:rPr>
                <w:bCs/>
                <w:lang w:val="en-GB"/>
              </w:rPr>
              <w:t xml:space="preserve">Apologies were noted from </w:t>
            </w:r>
            <w:r w:rsidRPr="004C24FB">
              <w:rPr>
                <w:lang w:val="en-GB"/>
              </w:rPr>
              <w:t>S Middleton.</w:t>
            </w:r>
          </w:p>
          <w:p w14:paraId="13E797BF" w14:textId="77777777" w:rsidR="005438C6" w:rsidRPr="004C24FB" w:rsidRDefault="005438C6" w:rsidP="00621C32">
            <w:pPr>
              <w:pStyle w:val="TableParagraph"/>
              <w:rPr>
                <w:b/>
                <w:lang w:val="en-GB"/>
              </w:rPr>
            </w:pPr>
          </w:p>
        </w:tc>
      </w:tr>
      <w:tr w:rsidR="005438C6" w:rsidRPr="004C24FB" w14:paraId="1F9EB345" w14:textId="77777777" w:rsidTr="00B02BCB">
        <w:trPr>
          <w:trHeight w:val="505"/>
        </w:trPr>
        <w:tc>
          <w:tcPr>
            <w:tcW w:w="567" w:type="dxa"/>
          </w:tcPr>
          <w:p w14:paraId="6208EDCC" w14:textId="77777777" w:rsidR="005438C6" w:rsidRPr="004C24FB" w:rsidRDefault="005438C6" w:rsidP="001220D8">
            <w:pPr>
              <w:pStyle w:val="TableParagraph"/>
              <w:numPr>
                <w:ilvl w:val="0"/>
                <w:numId w:val="1"/>
              </w:numPr>
              <w:ind w:left="170" w:firstLine="0"/>
              <w:rPr>
                <w:b/>
                <w:lang w:val="en-GB"/>
              </w:rPr>
            </w:pPr>
          </w:p>
        </w:tc>
        <w:tc>
          <w:tcPr>
            <w:tcW w:w="9418" w:type="dxa"/>
          </w:tcPr>
          <w:p w14:paraId="0B979570" w14:textId="77777777" w:rsidR="005438C6" w:rsidRPr="004C24FB" w:rsidRDefault="005438C6" w:rsidP="00621C32">
            <w:pPr>
              <w:pStyle w:val="TableParagraph"/>
              <w:rPr>
                <w:b/>
                <w:bCs/>
                <w:lang w:val="en-GB"/>
              </w:rPr>
            </w:pPr>
            <w:r w:rsidRPr="004C24FB">
              <w:rPr>
                <w:b/>
                <w:bCs/>
                <w:lang w:val="en-GB"/>
              </w:rPr>
              <w:t>DECLARATIONS OF INTEREST OR CONNECTION</w:t>
            </w:r>
          </w:p>
          <w:p w14:paraId="514C937F" w14:textId="77777777" w:rsidR="005438C6" w:rsidRPr="004C24FB" w:rsidRDefault="005438C6" w:rsidP="00621C32">
            <w:pPr>
              <w:pStyle w:val="TableParagraph"/>
              <w:rPr>
                <w:b/>
                <w:lang w:val="en-GB"/>
              </w:rPr>
            </w:pPr>
          </w:p>
          <w:p w14:paraId="01C3569E" w14:textId="77777777" w:rsidR="005438C6" w:rsidRPr="004C24FB" w:rsidRDefault="005438C6" w:rsidP="00621C32">
            <w:pPr>
              <w:pStyle w:val="TableParagraph"/>
              <w:rPr>
                <w:b/>
                <w:lang w:val="en-GB"/>
              </w:rPr>
            </w:pPr>
            <w:r w:rsidRPr="004C24FB">
              <w:rPr>
                <w:lang w:val="en-GB"/>
              </w:rPr>
              <w:t>None.</w:t>
            </w:r>
          </w:p>
          <w:p w14:paraId="3DDE98F5" w14:textId="77777777" w:rsidR="005438C6" w:rsidRPr="004C24FB" w:rsidRDefault="005438C6" w:rsidP="00621C32">
            <w:pPr>
              <w:pStyle w:val="TableParagraph"/>
              <w:rPr>
                <w:b/>
                <w:lang w:val="en-GB"/>
              </w:rPr>
            </w:pPr>
          </w:p>
        </w:tc>
      </w:tr>
      <w:tr w:rsidR="005438C6" w:rsidRPr="004C24FB" w14:paraId="19063523" w14:textId="77777777" w:rsidTr="00B02BCB">
        <w:trPr>
          <w:trHeight w:val="413"/>
        </w:trPr>
        <w:tc>
          <w:tcPr>
            <w:tcW w:w="567" w:type="dxa"/>
          </w:tcPr>
          <w:p w14:paraId="26501464" w14:textId="77777777" w:rsidR="005438C6" w:rsidRPr="004C24FB" w:rsidRDefault="005438C6" w:rsidP="001220D8">
            <w:pPr>
              <w:pStyle w:val="TableParagraph"/>
              <w:numPr>
                <w:ilvl w:val="0"/>
                <w:numId w:val="1"/>
              </w:numPr>
              <w:ind w:left="170" w:firstLine="0"/>
              <w:rPr>
                <w:b/>
                <w:lang w:val="en-GB"/>
              </w:rPr>
            </w:pPr>
          </w:p>
        </w:tc>
        <w:tc>
          <w:tcPr>
            <w:tcW w:w="9418" w:type="dxa"/>
          </w:tcPr>
          <w:p w14:paraId="692B0E40" w14:textId="4D460EAB" w:rsidR="005438C6" w:rsidRPr="004C24FB" w:rsidRDefault="005438C6" w:rsidP="00621C32">
            <w:pPr>
              <w:pStyle w:val="TableParagraph"/>
              <w:rPr>
                <w:lang w:val="en-GB"/>
              </w:rPr>
            </w:pPr>
            <w:r w:rsidRPr="004C24FB">
              <w:rPr>
                <w:b/>
                <w:lang w:val="en-GB"/>
              </w:rPr>
              <w:t xml:space="preserve">MINUTE OF THE PREVIOUS MEETING </w:t>
            </w:r>
            <w:r w:rsidRPr="004C24FB">
              <w:rPr>
                <w:lang w:val="en-GB"/>
              </w:rPr>
              <w:t>– 20 September 2022</w:t>
            </w:r>
          </w:p>
          <w:p w14:paraId="33CEA9DB" w14:textId="77777777" w:rsidR="005438C6" w:rsidRPr="004C24FB" w:rsidRDefault="005438C6" w:rsidP="00621C32">
            <w:pPr>
              <w:pStyle w:val="TableParagraph"/>
              <w:rPr>
                <w:lang w:val="en-GB"/>
              </w:rPr>
            </w:pPr>
          </w:p>
          <w:p w14:paraId="1A571306" w14:textId="50A5C1EA" w:rsidR="005438C6" w:rsidRPr="004C24FB" w:rsidRDefault="005438C6" w:rsidP="00621C32">
            <w:pPr>
              <w:pStyle w:val="TableParagraph"/>
              <w:rPr>
                <w:lang w:val="en-GB"/>
              </w:rPr>
            </w:pPr>
            <w:r w:rsidRPr="004C24FB">
              <w:rPr>
                <w:lang w:val="en-GB"/>
              </w:rPr>
              <w:t xml:space="preserve">The minutes of the Audit and Risk Committee </w:t>
            </w:r>
            <w:r w:rsidR="00226B08" w:rsidRPr="004C24FB">
              <w:rPr>
                <w:lang w:val="en-GB"/>
              </w:rPr>
              <w:t xml:space="preserve">and Joint </w:t>
            </w:r>
            <w:r w:rsidR="0022363C" w:rsidRPr="004C24FB">
              <w:rPr>
                <w:lang w:val="en-GB"/>
              </w:rPr>
              <w:t xml:space="preserve">Audit and Risk/Finance &amp; Property Committee </w:t>
            </w:r>
            <w:r w:rsidRPr="004C24FB">
              <w:rPr>
                <w:lang w:val="en-GB"/>
              </w:rPr>
              <w:t>meeting</w:t>
            </w:r>
            <w:r w:rsidR="0022363C" w:rsidRPr="004C24FB">
              <w:rPr>
                <w:lang w:val="en-GB"/>
              </w:rPr>
              <w:t>s</w:t>
            </w:r>
            <w:r w:rsidRPr="004C24FB">
              <w:rPr>
                <w:lang w:val="en-GB"/>
              </w:rPr>
              <w:t xml:space="preserve"> held on </w:t>
            </w:r>
            <w:r w:rsidR="0022363C" w:rsidRPr="004C24FB">
              <w:rPr>
                <w:lang w:val="en-GB"/>
              </w:rPr>
              <w:t>6 Decem</w:t>
            </w:r>
            <w:r w:rsidRPr="004C24FB">
              <w:rPr>
                <w:lang w:val="en-GB"/>
              </w:rPr>
              <w:t>ber 2022 w</w:t>
            </w:r>
            <w:r w:rsidR="0022363C" w:rsidRPr="004C24FB">
              <w:rPr>
                <w:lang w:val="en-GB"/>
              </w:rPr>
              <w:t>ere</w:t>
            </w:r>
            <w:r w:rsidRPr="004C24FB">
              <w:rPr>
                <w:lang w:val="en-GB"/>
              </w:rPr>
              <w:t xml:space="preserve"> approved as accurate record</w:t>
            </w:r>
            <w:r w:rsidR="0022363C" w:rsidRPr="004C24FB">
              <w:rPr>
                <w:lang w:val="en-GB"/>
              </w:rPr>
              <w:t>s</w:t>
            </w:r>
            <w:r w:rsidRPr="004C24FB">
              <w:rPr>
                <w:lang w:val="en-GB"/>
              </w:rPr>
              <w:t>.</w:t>
            </w:r>
          </w:p>
          <w:p w14:paraId="19818634" w14:textId="77777777" w:rsidR="005438C6" w:rsidRPr="004C24FB" w:rsidRDefault="005438C6" w:rsidP="00621C32">
            <w:pPr>
              <w:pStyle w:val="TableParagraph"/>
              <w:rPr>
                <w:lang w:val="en-GB"/>
              </w:rPr>
            </w:pPr>
          </w:p>
        </w:tc>
      </w:tr>
      <w:tr w:rsidR="005438C6" w:rsidRPr="004C24FB" w14:paraId="5A4CDB1E" w14:textId="77777777" w:rsidTr="00B02BCB">
        <w:trPr>
          <w:trHeight w:val="503"/>
        </w:trPr>
        <w:tc>
          <w:tcPr>
            <w:tcW w:w="567" w:type="dxa"/>
          </w:tcPr>
          <w:p w14:paraId="1E3134B1" w14:textId="77777777" w:rsidR="005438C6" w:rsidRPr="004C24FB" w:rsidRDefault="005438C6" w:rsidP="001220D8">
            <w:pPr>
              <w:pStyle w:val="TableParagraph"/>
              <w:numPr>
                <w:ilvl w:val="0"/>
                <w:numId w:val="1"/>
              </w:numPr>
              <w:ind w:left="170" w:firstLine="0"/>
              <w:rPr>
                <w:b/>
                <w:lang w:val="en-GB"/>
              </w:rPr>
            </w:pPr>
          </w:p>
        </w:tc>
        <w:tc>
          <w:tcPr>
            <w:tcW w:w="9418" w:type="dxa"/>
          </w:tcPr>
          <w:p w14:paraId="60BF2DE2" w14:textId="77777777" w:rsidR="005438C6" w:rsidRPr="004C24FB" w:rsidRDefault="005438C6" w:rsidP="00621C32">
            <w:pPr>
              <w:pStyle w:val="TableParagraph"/>
              <w:rPr>
                <w:b/>
                <w:lang w:val="en-GB"/>
              </w:rPr>
            </w:pPr>
            <w:r w:rsidRPr="004C24FB">
              <w:rPr>
                <w:b/>
                <w:lang w:val="en-GB"/>
              </w:rPr>
              <w:t>MATTERS ARISING</w:t>
            </w:r>
          </w:p>
          <w:p w14:paraId="21503129" w14:textId="77777777" w:rsidR="005438C6" w:rsidRPr="004C24FB" w:rsidRDefault="005438C6" w:rsidP="00621C32">
            <w:pPr>
              <w:pStyle w:val="TableParagraph"/>
              <w:rPr>
                <w:b/>
                <w:lang w:val="en-GB"/>
              </w:rPr>
            </w:pPr>
          </w:p>
          <w:p w14:paraId="2D48A415" w14:textId="116FE49E" w:rsidR="005438C6" w:rsidRPr="004C24FB" w:rsidRDefault="005438C6" w:rsidP="00621C32">
            <w:pPr>
              <w:pStyle w:val="TableParagraph"/>
              <w:rPr>
                <w:b/>
                <w:lang w:val="en-GB"/>
              </w:rPr>
            </w:pPr>
            <w:r w:rsidRPr="004C24FB">
              <w:rPr>
                <w:lang w:val="en-GB"/>
              </w:rPr>
              <w:t>Matters arising from previous meeting</w:t>
            </w:r>
            <w:r w:rsidR="0022363C" w:rsidRPr="004C24FB">
              <w:rPr>
                <w:lang w:val="en-GB"/>
              </w:rPr>
              <w:t>s</w:t>
            </w:r>
            <w:r w:rsidRPr="004C24FB">
              <w:rPr>
                <w:lang w:val="en-GB"/>
              </w:rPr>
              <w:t xml:space="preserve"> were closed.</w:t>
            </w:r>
          </w:p>
          <w:p w14:paraId="56CB8F7F" w14:textId="77777777" w:rsidR="005438C6" w:rsidRPr="004C24FB" w:rsidRDefault="005438C6" w:rsidP="00621C32">
            <w:pPr>
              <w:pStyle w:val="TableParagraph"/>
              <w:rPr>
                <w:b/>
                <w:lang w:val="en-GB"/>
              </w:rPr>
            </w:pPr>
          </w:p>
        </w:tc>
      </w:tr>
      <w:tr w:rsidR="00AB0932" w:rsidRPr="004C24FB" w14:paraId="70802190" w14:textId="77777777" w:rsidTr="00B02BCB">
        <w:trPr>
          <w:trHeight w:val="506"/>
        </w:trPr>
        <w:tc>
          <w:tcPr>
            <w:tcW w:w="567" w:type="dxa"/>
          </w:tcPr>
          <w:p w14:paraId="3C1844A8" w14:textId="77777777" w:rsidR="00AB0932" w:rsidRPr="004C24FB" w:rsidRDefault="00AB0932" w:rsidP="001220D8">
            <w:pPr>
              <w:pStyle w:val="ListParagraph"/>
              <w:numPr>
                <w:ilvl w:val="0"/>
                <w:numId w:val="1"/>
              </w:numPr>
              <w:spacing w:after="0"/>
              <w:ind w:left="170" w:firstLine="0"/>
              <w:contextualSpacing w:val="0"/>
              <w:rPr>
                <w:b/>
              </w:rPr>
            </w:pPr>
          </w:p>
        </w:tc>
        <w:tc>
          <w:tcPr>
            <w:tcW w:w="9418" w:type="dxa"/>
          </w:tcPr>
          <w:p w14:paraId="4E7458EF" w14:textId="77777777" w:rsidR="00AB0932" w:rsidRPr="004C24FB" w:rsidRDefault="00AB0932" w:rsidP="00621C32">
            <w:pPr>
              <w:pStyle w:val="TableParagraph"/>
              <w:tabs>
                <w:tab w:val="left" w:pos="428"/>
                <w:tab w:val="left" w:pos="950"/>
              </w:tabs>
              <w:ind w:right="236"/>
              <w:rPr>
                <w:b/>
                <w:bCs/>
                <w:lang w:val="en-GB"/>
              </w:rPr>
            </w:pPr>
            <w:r w:rsidRPr="004C24FB">
              <w:rPr>
                <w:b/>
                <w:bCs/>
                <w:lang w:val="en-GB"/>
              </w:rPr>
              <w:t>EXTERNAL AUDIT</w:t>
            </w:r>
          </w:p>
          <w:p w14:paraId="60849AA5" w14:textId="77777777" w:rsidR="00AB0932" w:rsidRPr="004C24FB" w:rsidRDefault="00AB0932" w:rsidP="00621C32">
            <w:pPr>
              <w:pStyle w:val="TableParagraph"/>
              <w:tabs>
                <w:tab w:val="left" w:pos="428"/>
                <w:tab w:val="left" w:pos="950"/>
              </w:tabs>
              <w:ind w:right="236"/>
              <w:rPr>
                <w:b/>
                <w:bCs/>
                <w:lang w:val="en-GB"/>
              </w:rPr>
            </w:pPr>
          </w:p>
          <w:p w14:paraId="5A2D9344" w14:textId="77777777" w:rsidR="00AB0932" w:rsidRPr="004C24FB" w:rsidRDefault="00AB0932" w:rsidP="00621C32">
            <w:pPr>
              <w:pStyle w:val="TableParagraph"/>
              <w:tabs>
                <w:tab w:val="left" w:pos="428"/>
                <w:tab w:val="left" w:pos="950"/>
              </w:tabs>
              <w:ind w:right="236"/>
              <w:rPr>
                <w:b/>
                <w:bCs/>
                <w:lang w:val="en-GB"/>
              </w:rPr>
            </w:pPr>
            <w:r w:rsidRPr="004C24FB">
              <w:rPr>
                <w:b/>
                <w:bCs/>
                <w:lang w:val="en-GB"/>
              </w:rPr>
              <w:t>(i) Audit Fee</w:t>
            </w:r>
          </w:p>
          <w:p w14:paraId="2177840D" w14:textId="77777777" w:rsidR="00AB0932" w:rsidRPr="004C24FB" w:rsidRDefault="00AB0932" w:rsidP="00621C32">
            <w:pPr>
              <w:pStyle w:val="TableParagraph"/>
              <w:tabs>
                <w:tab w:val="left" w:pos="428"/>
                <w:tab w:val="left" w:pos="950"/>
              </w:tabs>
              <w:ind w:right="236"/>
              <w:rPr>
                <w:lang w:val="en-GB"/>
              </w:rPr>
            </w:pPr>
          </w:p>
          <w:p w14:paraId="0111B33B" w14:textId="77777777" w:rsidR="00AB0932" w:rsidRPr="004C24FB" w:rsidRDefault="00AB0932" w:rsidP="00621C32">
            <w:pPr>
              <w:pStyle w:val="TableParagraph"/>
              <w:tabs>
                <w:tab w:val="left" w:pos="428"/>
                <w:tab w:val="left" w:pos="950"/>
              </w:tabs>
              <w:ind w:right="236"/>
              <w:rPr>
                <w:lang w:val="en-GB"/>
              </w:rPr>
            </w:pPr>
            <w:r w:rsidRPr="004C24FB">
              <w:rPr>
                <w:lang w:val="en-GB"/>
              </w:rPr>
              <w:t>J Carnegie summari</w:t>
            </w:r>
            <w:r>
              <w:rPr>
                <w:lang w:val="en-GB"/>
              </w:rPr>
              <w:t>s</w:t>
            </w:r>
            <w:r w:rsidRPr="004C24FB">
              <w:rPr>
                <w:lang w:val="en-GB"/>
              </w:rPr>
              <w:t>ed the paper for information only, bringing to attention the significant increase in Audit fees. M Speight stated that the fee level is reflective of current market conditions. He stated that the Audit fees are now where they should’ve been a long time ago. H Honeym</w:t>
            </w:r>
            <w:r>
              <w:rPr>
                <w:lang w:val="en-GB"/>
              </w:rPr>
              <w:t>an</w:t>
            </w:r>
            <w:r w:rsidRPr="004C24FB">
              <w:rPr>
                <w:lang w:val="en-GB"/>
              </w:rPr>
              <w:t xml:space="preserve"> asked if this significant price increase could be staggered over time. J Carnegie acknowledged that every public body has had this increase in audit fees, not only the </w:t>
            </w:r>
            <w:r>
              <w:rPr>
                <w:lang w:val="en-GB"/>
              </w:rPr>
              <w:t>C</w:t>
            </w:r>
            <w:r w:rsidRPr="004C24FB">
              <w:rPr>
                <w:lang w:val="en-GB"/>
              </w:rPr>
              <w:t xml:space="preserve">ollege, and therefore there </w:t>
            </w:r>
            <w:r>
              <w:rPr>
                <w:lang w:val="en-GB"/>
              </w:rPr>
              <w:t>was</w:t>
            </w:r>
            <w:r w:rsidRPr="004C24FB">
              <w:rPr>
                <w:lang w:val="en-GB"/>
              </w:rPr>
              <w:t xml:space="preserve"> no option to stagger the</w:t>
            </w:r>
            <w:r>
              <w:rPr>
                <w:lang w:val="en-GB"/>
              </w:rPr>
              <w:t xml:space="preserve"> increase</w:t>
            </w:r>
            <w:r w:rsidRPr="004C24FB">
              <w:rPr>
                <w:lang w:val="en-GB"/>
              </w:rPr>
              <w:t xml:space="preserve">. </w:t>
            </w:r>
          </w:p>
          <w:p w14:paraId="1F157D02" w14:textId="77777777" w:rsidR="00AB0932" w:rsidRDefault="00AB0932" w:rsidP="00621C32">
            <w:pPr>
              <w:pStyle w:val="TableParagraph"/>
              <w:tabs>
                <w:tab w:val="left" w:pos="428"/>
                <w:tab w:val="left" w:pos="950"/>
              </w:tabs>
              <w:ind w:right="236"/>
              <w:rPr>
                <w:lang w:val="en-GB"/>
              </w:rPr>
            </w:pPr>
          </w:p>
          <w:p w14:paraId="0B574255" w14:textId="77777777" w:rsidR="00AB0932" w:rsidRDefault="00AB0932" w:rsidP="00621C32">
            <w:pPr>
              <w:pStyle w:val="TableParagraph"/>
              <w:tabs>
                <w:tab w:val="left" w:pos="428"/>
                <w:tab w:val="left" w:pos="950"/>
              </w:tabs>
              <w:ind w:right="236"/>
              <w:rPr>
                <w:lang w:val="en-GB"/>
              </w:rPr>
            </w:pPr>
          </w:p>
          <w:p w14:paraId="48DC31C2" w14:textId="77777777" w:rsidR="00AB0932" w:rsidRDefault="00AB0932" w:rsidP="00621C32">
            <w:pPr>
              <w:pStyle w:val="TableParagraph"/>
              <w:tabs>
                <w:tab w:val="left" w:pos="428"/>
                <w:tab w:val="left" w:pos="950"/>
              </w:tabs>
              <w:ind w:right="236"/>
              <w:rPr>
                <w:lang w:val="en-GB"/>
              </w:rPr>
            </w:pPr>
          </w:p>
          <w:p w14:paraId="6596C5D2" w14:textId="77777777" w:rsidR="00AB0932" w:rsidRPr="008F65DD" w:rsidRDefault="00AB0932" w:rsidP="00621C32">
            <w:pPr>
              <w:pStyle w:val="TableParagraph"/>
              <w:tabs>
                <w:tab w:val="left" w:pos="428"/>
                <w:tab w:val="left" w:pos="950"/>
              </w:tabs>
              <w:ind w:right="236"/>
              <w:rPr>
                <w:b/>
                <w:bCs/>
                <w:lang w:val="en-GB"/>
              </w:rPr>
            </w:pPr>
            <w:r w:rsidRPr="008F65DD">
              <w:rPr>
                <w:b/>
                <w:bCs/>
                <w:lang w:val="en-GB"/>
              </w:rPr>
              <w:lastRenderedPageBreak/>
              <w:t>(ii) Introduction to Mazars</w:t>
            </w:r>
          </w:p>
          <w:p w14:paraId="642FF0BA" w14:textId="77777777" w:rsidR="00AB0932" w:rsidRPr="004C24FB" w:rsidRDefault="00AB0932" w:rsidP="00621C32">
            <w:pPr>
              <w:pStyle w:val="TableParagraph"/>
              <w:tabs>
                <w:tab w:val="left" w:pos="428"/>
                <w:tab w:val="left" w:pos="950"/>
              </w:tabs>
              <w:ind w:right="236"/>
              <w:rPr>
                <w:lang w:val="en-GB"/>
              </w:rPr>
            </w:pPr>
          </w:p>
          <w:p w14:paraId="1E32F33A" w14:textId="77777777" w:rsidR="00AB0932" w:rsidRPr="004C24FB" w:rsidRDefault="00AB0932" w:rsidP="00621C32">
            <w:pPr>
              <w:pStyle w:val="TableParagraph"/>
              <w:tabs>
                <w:tab w:val="left" w:pos="428"/>
                <w:tab w:val="left" w:pos="950"/>
              </w:tabs>
              <w:ind w:right="236"/>
              <w:rPr>
                <w:lang w:val="en-GB"/>
              </w:rPr>
            </w:pPr>
            <w:r w:rsidRPr="004C24FB">
              <w:rPr>
                <w:lang w:val="en-GB"/>
              </w:rPr>
              <w:t xml:space="preserve">M Speight introduced himself from Mazars- the new </w:t>
            </w:r>
            <w:r>
              <w:rPr>
                <w:lang w:val="en-GB"/>
              </w:rPr>
              <w:t>external</w:t>
            </w:r>
            <w:r w:rsidRPr="004C24FB">
              <w:rPr>
                <w:lang w:val="en-GB"/>
              </w:rPr>
              <w:t xml:space="preserve"> auditors. J Carnegie questioned if Mazars will have a handover from existing auditors- Audit Scotland. M Speight confirmed this </w:t>
            </w:r>
            <w:r>
              <w:rPr>
                <w:lang w:val="en-GB"/>
              </w:rPr>
              <w:t>was</w:t>
            </w:r>
            <w:r w:rsidRPr="004C24FB">
              <w:rPr>
                <w:lang w:val="en-GB"/>
              </w:rPr>
              <w:t xml:space="preserve"> current ongoing. </w:t>
            </w:r>
          </w:p>
          <w:p w14:paraId="0A0EAFEF" w14:textId="77777777" w:rsidR="00AB0932" w:rsidRPr="004C24FB" w:rsidRDefault="00AB0932" w:rsidP="00621C32">
            <w:pPr>
              <w:pStyle w:val="TableParagraph"/>
              <w:rPr>
                <w:b/>
                <w:lang w:val="en-GB"/>
              </w:rPr>
            </w:pPr>
          </w:p>
        </w:tc>
      </w:tr>
      <w:tr w:rsidR="005438C6" w:rsidRPr="004C24FB" w14:paraId="5DA558A6" w14:textId="77777777" w:rsidTr="00B02BCB">
        <w:trPr>
          <w:trHeight w:val="506"/>
        </w:trPr>
        <w:tc>
          <w:tcPr>
            <w:tcW w:w="567" w:type="dxa"/>
          </w:tcPr>
          <w:p w14:paraId="517F01E3" w14:textId="77777777" w:rsidR="005438C6" w:rsidRPr="004C24FB" w:rsidRDefault="005438C6" w:rsidP="001220D8">
            <w:pPr>
              <w:pStyle w:val="ListParagraph"/>
              <w:numPr>
                <w:ilvl w:val="0"/>
                <w:numId w:val="1"/>
              </w:numPr>
              <w:spacing w:after="0"/>
              <w:ind w:left="170" w:firstLine="0"/>
              <w:contextualSpacing w:val="0"/>
              <w:rPr>
                <w:b/>
              </w:rPr>
            </w:pPr>
          </w:p>
        </w:tc>
        <w:tc>
          <w:tcPr>
            <w:tcW w:w="9418" w:type="dxa"/>
          </w:tcPr>
          <w:p w14:paraId="10784233" w14:textId="77777777" w:rsidR="005438C6" w:rsidRPr="004C24FB" w:rsidRDefault="005438C6" w:rsidP="001220D8">
            <w:pPr>
              <w:pStyle w:val="TableParagraph"/>
              <w:ind w:left="67"/>
              <w:rPr>
                <w:b/>
                <w:lang w:val="en-GB"/>
              </w:rPr>
            </w:pPr>
            <w:r w:rsidRPr="004C24FB">
              <w:rPr>
                <w:b/>
                <w:lang w:val="en-GB"/>
              </w:rPr>
              <w:t xml:space="preserve">INTERNAL AUDIT </w:t>
            </w:r>
          </w:p>
          <w:p w14:paraId="7090651B" w14:textId="77777777" w:rsidR="005438C6" w:rsidRPr="004C24FB" w:rsidRDefault="005438C6" w:rsidP="001220D8">
            <w:pPr>
              <w:pStyle w:val="TableParagraph"/>
              <w:ind w:left="67"/>
              <w:rPr>
                <w:b/>
                <w:lang w:val="en-GB"/>
              </w:rPr>
            </w:pPr>
          </w:p>
          <w:p w14:paraId="6E83C10E" w14:textId="7D770DF1" w:rsidR="005438C6" w:rsidRPr="004C24FB" w:rsidRDefault="005438C6" w:rsidP="001220D8">
            <w:pPr>
              <w:pStyle w:val="TableParagraph"/>
              <w:numPr>
                <w:ilvl w:val="1"/>
                <w:numId w:val="1"/>
              </w:numPr>
              <w:ind w:left="906" w:hanging="572"/>
              <w:rPr>
                <w:b/>
                <w:bCs/>
                <w:sz w:val="20"/>
                <w:szCs w:val="20"/>
                <w:lang w:val="en-GB"/>
              </w:rPr>
            </w:pPr>
            <w:r w:rsidRPr="004C24FB">
              <w:rPr>
                <w:b/>
                <w:bCs/>
                <w:lang w:val="en-GB"/>
              </w:rPr>
              <w:t xml:space="preserve">Health, Safety and Wellbeing </w:t>
            </w:r>
          </w:p>
          <w:p w14:paraId="4F9226DA" w14:textId="77777777" w:rsidR="005438C6" w:rsidRPr="004C24FB" w:rsidRDefault="005438C6" w:rsidP="001220D8">
            <w:pPr>
              <w:pStyle w:val="TableParagraph"/>
              <w:ind w:left="906"/>
              <w:rPr>
                <w:sz w:val="20"/>
                <w:szCs w:val="20"/>
                <w:lang w:val="en-GB"/>
              </w:rPr>
            </w:pPr>
          </w:p>
          <w:p w14:paraId="62F7750C" w14:textId="102882AE" w:rsidR="00DA331A" w:rsidRPr="004C24FB" w:rsidRDefault="005438C6" w:rsidP="001220D8">
            <w:pPr>
              <w:pStyle w:val="TableParagraph"/>
              <w:ind w:left="906"/>
              <w:rPr>
                <w:lang w:val="en-GB"/>
              </w:rPr>
            </w:pPr>
            <w:r w:rsidRPr="004C24FB">
              <w:rPr>
                <w:lang w:val="en-GB"/>
              </w:rPr>
              <w:t xml:space="preserve">D Archibald summarised the report noting that </w:t>
            </w:r>
            <w:r w:rsidR="00CA09CD" w:rsidRPr="004C24FB">
              <w:rPr>
                <w:lang w:val="en-GB"/>
              </w:rPr>
              <w:t>this was a</w:t>
            </w:r>
            <w:r w:rsidRPr="004C24FB">
              <w:rPr>
                <w:lang w:val="en-GB"/>
              </w:rPr>
              <w:t xml:space="preserve"> positive report</w:t>
            </w:r>
            <w:r w:rsidR="00DA331A" w:rsidRPr="004C24FB">
              <w:rPr>
                <w:lang w:val="en-GB"/>
              </w:rPr>
              <w:t xml:space="preserve">, </w:t>
            </w:r>
            <w:r w:rsidR="00015F1C" w:rsidRPr="004C24FB">
              <w:rPr>
                <w:lang w:val="en-GB"/>
              </w:rPr>
              <w:t>highlighting many areas of good practice.  D Archibald noted that there were two recommendations from the audit</w:t>
            </w:r>
            <w:r w:rsidR="00667AFA" w:rsidRPr="004C24FB">
              <w:rPr>
                <w:lang w:val="en-GB"/>
              </w:rPr>
              <w:t xml:space="preserve"> around the </w:t>
            </w:r>
            <w:r w:rsidR="00CA09CD" w:rsidRPr="004C24FB">
              <w:rPr>
                <w:lang w:val="en-GB"/>
              </w:rPr>
              <w:t>u</w:t>
            </w:r>
            <w:r w:rsidR="00DA331A" w:rsidRPr="004C24FB">
              <w:rPr>
                <w:lang w:val="en-GB"/>
              </w:rPr>
              <w:t xml:space="preserve">pdating </w:t>
            </w:r>
            <w:r w:rsidR="00667AFA" w:rsidRPr="004C24FB">
              <w:rPr>
                <w:lang w:val="en-GB"/>
              </w:rPr>
              <w:t xml:space="preserve">of </w:t>
            </w:r>
            <w:r w:rsidR="00DA331A" w:rsidRPr="004C24FB">
              <w:rPr>
                <w:lang w:val="en-GB"/>
              </w:rPr>
              <w:t>the risk assessment document</w:t>
            </w:r>
            <w:r w:rsidR="00667AFA" w:rsidRPr="004C24FB">
              <w:rPr>
                <w:lang w:val="en-GB"/>
              </w:rPr>
              <w:t xml:space="preserve"> and uptake of </w:t>
            </w:r>
            <w:r w:rsidR="00DA331A" w:rsidRPr="004C24FB">
              <w:rPr>
                <w:lang w:val="en-GB"/>
              </w:rPr>
              <w:t xml:space="preserve">mandatory health and safety induction </w:t>
            </w:r>
            <w:r w:rsidR="00667AFA" w:rsidRPr="004C24FB">
              <w:rPr>
                <w:lang w:val="en-GB"/>
              </w:rPr>
              <w:t xml:space="preserve">training for </w:t>
            </w:r>
            <w:r w:rsidR="008B25DA" w:rsidRPr="004C24FB">
              <w:rPr>
                <w:lang w:val="en-GB"/>
              </w:rPr>
              <w:t>‘casual’ supply staff.</w:t>
            </w:r>
            <w:r w:rsidR="00DA331A" w:rsidRPr="004C24FB">
              <w:rPr>
                <w:lang w:val="en-GB"/>
              </w:rPr>
              <w:t xml:space="preserve"> Overall, a positive report with minor recommendations of improvement. </w:t>
            </w:r>
          </w:p>
          <w:p w14:paraId="7845795E" w14:textId="77777777" w:rsidR="005438C6" w:rsidRPr="004C24FB" w:rsidRDefault="005438C6" w:rsidP="001220D8">
            <w:pPr>
              <w:pStyle w:val="TableParagraph"/>
              <w:ind w:left="906"/>
              <w:rPr>
                <w:lang w:val="en-GB"/>
              </w:rPr>
            </w:pPr>
          </w:p>
          <w:p w14:paraId="3119DCF0" w14:textId="77777777" w:rsidR="00E176B1" w:rsidRPr="004C24FB" w:rsidRDefault="00DA331A" w:rsidP="001220D8">
            <w:pPr>
              <w:pStyle w:val="TableParagraph"/>
              <w:ind w:left="906"/>
              <w:rPr>
                <w:lang w:val="en-GB"/>
              </w:rPr>
            </w:pPr>
            <w:r w:rsidRPr="004C24FB">
              <w:rPr>
                <w:lang w:val="en-GB"/>
              </w:rPr>
              <w:t>M Williamson que</w:t>
            </w:r>
            <w:r w:rsidR="008B25DA" w:rsidRPr="004C24FB">
              <w:rPr>
                <w:lang w:val="en-GB"/>
              </w:rPr>
              <w:t xml:space="preserve">ried arrangements and tracking of </w:t>
            </w:r>
            <w:r w:rsidR="008C3EDC" w:rsidRPr="004C24FB">
              <w:rPr>
                <w:lang w:val="en-GB"/>
              </w:rPr>
              <w:t xml:space="preserve">mandatory training for staff </w:t>
            </w:r>
            <w:r w:rsidRPr="004C24FB">
              <w:rPr>
                <w:lang w:val="en-GB"/>
              </w:rPr>
              <w:t xml:space="preserve">who work under 12 hours. J Carnegie highlighted this </w:t>
            </w:r>
            <w:r w:rsidR="00133C7C" w:rsidRPr="004C24FB">
              <w:rPr>
                <w:lang w:val="en-GB"/>
              </w:rPr>
              <w:t>was</w:t>
            </w:r>
            <w:r w:rsidRPr="004C24FB">
              <w:rPr>
                <w:lang w:val="en-GB"/>
              </w:rPr>
              <w:t xml:space="preserve"> being monitored </w:t>
            </w:r>
            <w:r w:rsidR="00133C7C" w:rsidRPr="004C24FB">
              <w:rPr>
                <w:lang w:val="en-GB"/>
              </w:rPr>
              <w:t xml:space="preserve">and reported to </w:t>
            </w:r>
            <w:r w:rsidRPr="004C24FB">
              <w:rPr>
                <w:lang w:val="en-GB"/>
              </w:rPr>
              <w:t xml:space="preserve">the </w:t>
            </w:r>
            <w:r w:rsidR="00133C7C" w:rsidRPr="004C24FB">
              <w:rPr>
                <w:lang w:val="en-GB"/>
              </w:rPr>
              <w:t>H</w:t>
            </w:r>
            <w:r w:rsidRPr="004C24FB">
              <w:rPr>
                <w:lang w:val="en-GB"/>
              </w:rPr>
              <w:t>ealth</w:t>
            </w:r>
            <w:r w:rsidR="00133C7C" w:rsidRPr="004C24FB">
              <w:rPr>
                <w:lang w:val="en-GB"/>
              </w:rPr>
              <w:t>, Safety and Wellbeing C</w:t>
            </w:r>
            <w:r w:rsidRPr="004C24FB">
              <w:rPr>
                <w:lang w:val="en-GB"/>
              </w:rPr>
              <w:t xml:space="preserve">ommittee and discussions </w:t>
            </w:r>
            <w:r w:rsidR="00133C7C" w:rsidRPr="004C24FB">
              <w:rPr>
                <w:lang w:val="en-GB"/>
              </w:rPr>
              <w:t>were</w:t>
            </w:r>
            <w:r w:rsidRPr="004C24FB">
              <w:rPr>
                <w:lang w:val="en-GB"/>
              </w:rPr>
              <w:t xml:space="preserve"> ongoing</w:t>
            </w:r>
            <w:r w:rsidR="00133C7C" w:rsidRPr="004C24FB">
              <w:rPr>
                <w:lang w:val="en-GB"/>
              </w:rPr>
              <w:t xml:space="preserve"> to improve compliance</w:t>
            </w:r>
            <w:r w:rsidRPr="004C24FB">
              <w:rPr>
                <w:lang w:val="en-GB"/>
              </w:rPr>
              <w:t xml:space="preserve"> </w:t>
            </w:r>
          </w:p>
          <w:p w14:paraId="7FE910FC" w14:textId="77777777" w:rsidR="00E176B1" w:rsidRPr="004C24FB" w:rsidRDefault="00E176B1" w:rsidP="001220D8">
            <w:pPr>
              <w:pStyle w:val="TableParagraph"/>
              <w:ind w:left="906"/>
              <w:rPr>
                <w:lang w:val="en-GB"/>
              </w:rPr>
            </w:pPr>
          </w:p>
          <w:p w14:paraId="7D7B23C4" w14:textId="670033AC" w:rsidR="00C10E61" w:rsidRPr="004C24FB" w:rsidRDefault="00EE6BE9" w:rsidP="001220D8">
            <w:pPr>
              <w:pStyle w:val="TableParagraph"/>
              <w:ind w:left="906"/>
              <w:rPr>
                <w:lang w:val="en-GB"/>
              </w:rPr>
            </w:pPr>
            <w:r w:rsidRPr="004C24FB">
              <w:rPr>
                <w:lang w:val="en-GB"/>
              </w:rPr>
              <w:t xml:space="preserve">S Taylor </w:t>
            </w:r>
            <w:r w:rsidR="00E176B1" w:rsidRPr="004C24FB">
              <w:rPr>
                <w:lang w:val="en-GB"/>
              </w:rPr>
              <w:t>noted that this training was a mandatory</w:t>
            </w:r>
            <w:r w:rsidR="005438C6" w:rsidRPr="004C24FB">
              <w:rPr>
                <w:lang w:val="en-GB"/>
              </w:rPr>
              <w:t xml:space="preserve"> </w:t>
            </w:r>
            <w:r w:rsidRPr="004C24FB">
              <w:rPr>
                <w:lang w:val="en-GB"/>
              </w:rPr>
              <w:t xml:space="preserve">requirement, stating this </w:t>
            </w:r>
            <w:r w:rsidR="00E176B1" w:rsidRPr="004C24FB">
              <w:rPr>
                <w:lang w:val="en-GB"/>
              </w:rPr>
              <w:t>should be signed off</w:t>
            </w:r>
            <w:r w:rsidRPr="004C24FB">
              <w:rPr>
                <w:lang w:val="en-GB"/>
              </w:rPr>
              <w:t xml:space="preserve"> as part of the probation period for </w:t>
            </w:r>
            <w:r w:rsidR="00E176B1" w:rsidRPr="004C24FB">
              <w:rPr>
                <w:lang w:val="en-GB"/>
              </w:rPr>
              <w:t>staff</w:t>
            </w:r>
            <w:r w:rsidRPr="004C24FB">
              <w:rPr>
                <w:lang w:val="en-GB"/>
              </w:rPr>
              <w:t>. H Honeym</w:t>
            </w:r>
            <w:r w:rsidR="00E176B1" w:rsidRPr="004C24FB">
              <w:rPr>
                <w:lang w:val="en-GB"/>
              </w:rPr>
              <w:t>an</w:t>
            </w:r>
            <w:r w:rsidRPr="004C24FB">
              <w:rPr>
                <w:lang w:val="en-GB"/>
              </w:rPr>
              <w:t xml:space="preserve"> asked if there are any consequences of non-completion of mandatory training? </w:t>
            </w:r>
            <w:r w:rsidR="00D15CFF" w:rsidRPr="004C24FB">
              <w:rPr>
                <w:lang w:val="en-GB"/>
              </w:rPr>
              <w:t xml:space="preserve">S Taylor noted that the initial step would be to extend the probationary period and thereafter it may </w:t>
            </w:r>
            <w:r w:rsidR="00405B3B" w:rsidRPr="004C24FB">
              <w:rPr>
                <w:lang w:val="en-GB"/>
              </w:rPr>
              <w:t>result in the probationary period not being satisfactorily completed.</w:t>
            </w:r>
          </w:p>
          <w:p w14:paraId="4CE73F22" w14:textId="77777777" w:rsidR="00C10E61" w:rsidRPr="004C24FB" w:rsidRDefault="00C10E61" w:rsidP="001220D8">
            <w:pPr>
              <w:pStyle w:val="TableParagraph"/>
              <w:ind w:left="906"/>
              <w:rPr>
                <w:lang w:val="en-GB"/>
              </w:rPr>
            </w:pPr>
          </w:p>
          <w:p w14:paraId="76A96960" w14:textId="01322C56" w:rsidR="005438C6" w:rsidRPr="004C24FB" w:rsidRDefault="00EE6BE9" w:rsidP="001220D8">
            <w:pPr>
              <w:pStyle w:val="TableParagraph"/>
              <w:ind w:left="906"/>
              <w:rPr>
                <w:lang w:val="en-GB"/>
              </w:rPr>
            </w:pPr>
            <w:r w:rsidRPr="004C24FB">
              <w:rPr>
                <w:lang w:val="en-GB"/>
              </w:rPr>
              <w:t xml:space="preserve">J Carnegie </w:t>
            </w:r>
            <w:r w:rsidR="00405B3B" w:rsidRPr="004C24FB">
              <w:rPr>
                <w:lang w:val="en-GB"/>
              </w:rPr>
              <w:t xml:space="preserve">welcomed the </w:t>
            </w:r>
            <w:r w:rsidRPr="004C24FB">
              <w:rPr>
                <w:lang w:val="en-GB"/>
              </w:rPr>
              <w:t xml:space="preserve">report stating it was a comprehensive and thorough report, praising the new </w:t>
            </w:r>
            <w:r w:rsidR="00405B3B" w:rsidRPr="004C24FB">
              <w:rPr>
                <w:lang w:val="en-GB"/>
              </w:rPr>
              <w:t>H</w:t>
            </w:r>
            <w:r w:rsidRPr="004C24FB">
              <w:rPr>
                <w:lang w:val="en-GB"/>
              </w:rPr>
              <w:t xml:space="preserve">ealth and </w:t>
            </w:r>
            <w:r w:rsidR="00405B3B" w:rsidRPr="004C24FB">
              <w:rPr>
                <w:lang w:val="en-GB"/>
              </w:rPr>
              <w:t>S</w:t>
            </w:r>
            <w:r w:rsidRPr="004C24FB">
              <w:rPr>
                <w:lang w:val="en-GB"/>
              </w:rPr>
              <w:t xml:space="preserve">afety </w:t>
            </w:r>
            <w:r w:rsidR="00405B3B" w:rsidRPr="004C24FB">
              <w:rPr>
                <w:lang w:val="en-GB"/>
              </w:rPr>
              <w:t>O</w:t>
            </w:r>
            <w:r w:rsidRPr="004C24FB">
              <w:rPr>
                <w:lang w:val="en-GB"/>
              </w:rPr>
              <w:t>fficer</w:t>
            </w:r>
            <w:r w:rsidR="00FD6A14" w:rsidRPr="004C24FB">
              <w:rPr>
                <w:lang w:val="en-GB"/>
              </w:rPr>
              <w:t xml:space="preserve"> for the approach adopted in engaging</w:t>
            </w:r>
            <w:r w:rsidRPr="004C24FB">
              <w:rPr>
                <w:lang w:val="en-GB"/>
              </w:rPr>
              <w:t xml:space="preserve"> positively with teams in the higher risk</w:t>
            </w:r>
            <w:r w:rsidR="00FD6A14" w:rsidRPr="004C24FB">
              <w:rPr>
                <w:lang w:val="en-GB"/>
              </w:rPr>
              <w:t xml:space="preserve"> activities</w:t>
            </w:r>
            <w:r w:rsidRPr="004C24FB">
              <w:rPr>
                <w:lang w:val="en-GB"/>
              </w:rPr>
              <w:t xml:space="preserve">. J Carnegie asked the </w:t>
            </w:r>
            <w:r w:rsidR="00901A10" w:rsidRPr="004C24FB">
              <w:rPr>
                <w:lang w:val="en-GB"/>
              </w:rPr>
              <w:t>Committee to pass on their</w:t>
            </w:r>
            <w:r w:rsidRPr="004C24FB">
              <w:rPr>
                <w:lang w:val="en-GB"/>
              </w:rPr>
              <w:t xml:space="preserve"> appreciation and gratitude to Sandy </w:t>
            </w:r>
            <w:r w:rsidR="00C10E61" w:rsidRPr="004C24FB">
              <w:rPr>
                <w:lang w:val="en-GB"/>
              </w:rPr>
              <w:t>Fowler</w:t>
            </w:r>
            <w:r w:rsidR="00901A10" w:rsidRPr="004C24FB">
              <w:rPr>
                <w:lang w:val="en-GB"/>
              </w:rPr>
              <w:t xml:space="preserve"> for his efforts</w:t>
            </w:r>
            <w:r w:rsidRPr="004C24FB">
              <w:rPr>
                <w:lang w:val="en-GB"/>
              </w:rPr>
              <w:t>. Th</w:t>
            </w:r>
            <w:r w:rsidR="00901A10" w:rsidRPr="004C24FB">
              <w:rPr>
                <w:lang w:val="en-GB"/>
              </w:rPr>
              <w:t xml:space="preserve">is was agreed. </w:t>
            </w:r>
            <w:r w:rsidR="00901A10" w:rsidRPr="004C24FB">
              <w:rPr>
                <w:b/>
                <w:bCs/>
                <w:lang w:val="en-GB"/>
              </w:rPr>
              <w:t>S Taylor to progress</w:t>
            </w:r>
            <w:r w:rsidRPr="004C24FB">
              <w:rPr>
                <w:b/>
                <w:bCs/>
                <w:lang w:val="en-GB"/>
              </w:rPr>
              <w:t xml:space="preserve">. </w:t>
            </w:r>
          </w:p>
          <w:p w14:paraId="15A2829B" w14:textId="04527A53" w:rsidR="005438C6" w:rsidRPr="004C24FB" w:rsidRDefault="005438C6" w:rsidP="001220D8">
            <w:pPr>
              <w:pStyle w:val="TableParagraph"/>
              <w:rPr>
                <w:sz w:val="20"/>
                <w:szCs w:val="20"/>
                <w:lang w:val="en-GB"/>
              </w:rPr>
            </w:pPr>
            <w:r w:rsidRPr="004C24FB">
              <w:rPr>
                <w:lang w:val="en-GB"/>
              </w:rPr>
              <w:t xml:space="preserve">              </w:t>
            </w:r>
          </w:p>
          <w:p w14:paraId="1679216B" w14:textId="77777777" w:rsidR="005438C6" w:rsidRPr="004C24FB" w:rsidRDefault="005438C6" w:rsidP="001220D8">
            <w:pPr>
              <w:pStyle w:val="TableParagraph"/>
              <w:ind w:left="906" w:hanging="572"/>
              <w:rPr>
                <w:sz w:val="20"/>
                <w:szCs w:val="20"/>
                <w:lang w:val="en-GB"/>
              </w:rPr>
            </w:pPr>
          </w:p>
          <w:p w14:paraId="4003C6AF" w14:textId="4878D854" w:rsidR="005438C6" w:rsidRPr="004C24FB" w:rsidRDefault="00EE6BE9" w:rsidP="001220D8">
            <w:pPr>
              <w:pStyle w:val="TableParagraph"/>
              <w:numPr>
                <w:ilvl w:val="1"/>
                <w:numId w:val="1"/>
              </w:numPr>
              <w:ind w:left="906" w:hanging="572"/>
              <w:rPr>
                <w:b/>
                <w:lang w:val="en-GB"/>
              </w:rPr>
            </w:pPr>
            <w:r w:rsidRPr="004C24FB">
              <w:rPr>
                <w:b/>
                <w:lang w:val="en-GB"/>
              </w:rPr>
              <w:t>2022/23 Progress Report</w:t>
            </w:r>
          </w:p>
          <w:p w14:paraId="6BEA05FB" w14:textId="77777777" w:rsidR="005438C6" w:rsidRPr="004C24FB" w:rsidRDefault="005438C6" w:rsidP="001220D8">
            <w:pPr>
              <w:pStyle w:val="TableParagraph"/>
              <w:ind w:left="906"/>
              <w:rPr>
                <w:bCs/>
                <w:lang w:val="en-GB"/>
              </w:rPr>
            </w:pPr>
          </w:p>
          <w:p w14:paraId="3A782682" w14:textId="4591179E" w:rsidR="005438C6" w:rsidRPr="004C24FB" w:rsidRDefault="005438C6" w:rsidP="001220D8">
            <w:pPr>
              <w:pStyle w:val="TableParagraph"/>
              <w:ind w:left="906"/>
              <w:rPr>
                <w:bCs/>
                <w:lang w:val="en-GB"/>
              </w:rPr>
            </w:pPr>
            <w:r w:rsidRPr="004C24FB">
              <w:rPr>
                <w:bCs/>
                <w:lang w:val="en-GB"/>
              </w:rPr>
              <w:t>D Archibald highlighted t</w:t>
            </w:r>
            <w:r w:rsidR="00EE6BE9" w:rsidRPr="004C24FB">
              <w:rPr>
                <w:bCs/>
                <w:lang w:val="en-GB"/>
              </w:rPr>
              <w:t xml:space="preserve">his report, stating there are two reviews lined up for April 2023 for completion. </w:t>
            </w:r>
            <w:r w:rsidR="00901A10" w:rsidRPr="004C24FB">
              <w:rPr>
                <w:bCs/>
                <w:lang w:val="en-GB"/>
              </w:rPr>
              <w:t xml:space="preserve">He apologised for the delay in presentation of the partnership audit and noted that this was </w:t>
            </w:r>
            <w:r w:rsidR="004C24FB" w:rsidRPr="004C24FB">
              <w:rPr>
                <w:bCs/>
                <w:lang w:val="en-GB"/>
              </w:rPr>
              <w:t>Henderson Loggie’s responsibility, not the College</w:t>
            </w:r>
            <w:r w:rsidR="004C24FB">
              <w:rPr>
                <w:bCs/>
                <w:lang w:val="en-GB"/>
              </w:rPr>
              <w:t xml:space="preserve">. All audit work was progressing well and </w:t>
            </w:r>
            <w:r w:rsidR="00207BAF">
              <w:rPr>
                <w:bCs/>
                <w:lang w:val="en-GB"/>
              </w:rPr>
              <w:t>there were no concerns around arrangements for completion.</w:t>
            </w:r>
          </w:p>
          <w:p w14:paraId="35CAD7A3" w14:textId="77777777" w:rsidR="005438C6" w:rsidRPr="004C24FB" w:rsidRDefault="005438C6" w:rsidP="001220D8">
            <w:pPr>
              <w:pStyle w:val="TableParagraph"/>
              <w:ind w:left="906"/>
              <w:rPr>
                <w:bCs/>
                <w:lang w:val="en-GB"/>
              </w:rPr>
            </w:pPr>
          </w:p>
          <w:p w14:paraId="41BF5DA2" w14:textId="77777777" w:rsidR="005438C6" w:rsidRPr="004C24FB" w:rsidRDefault="005438C6" w:rsidP="001220D8">
            <w:pPr>
              <w:pStyle w:val="TableParagraph"/>
              <w:numPr>
                <w:ilvl w:val="1"/>
                <w:numId w:val="1"/>
              </w:numPr>
              <w:ind w:left="906" w:hanging="572"/>
              <w:rPr>
                <w:b/>
                <w:bCs/>
                <w:lang w:val="en-GB"/>
              </w:rPr>
            </w:pPr>
            <w:r w:rsidRPr="004C24FB">
              <w:rPr>
                <w:b/>
                <w:bCs/>
                <w:lang w:val="en-GB"/>
              </w:rPr>
              <w:t>Follow up Summary</w:t>
            </w:r>
          </w:p>
          <w:p w14:paraId="22D643C2" w14:textId="77777777" w:rsidR="001220D8" w:rsidRDefault="001220D8" w:rsidP="001220D8">
            <w:pPr>
              <w:spacing w:after="0" w:line="240" w:lineRule="auto"/>
              <w:ind w:left="906" w:right="120" w:hanging="572"/>
              <w:rPr>
                <w:rFonts w:ascii="Arial" w:hAnsi="Arial" w:cs="Arial"/>
                <w:bCs/>
              </w:rPr>
            </w:pPr>
          </w:p>
          <w:p w14:paraId="44B47851" w14:textId="65E40A00" w:rsidR="005438C6" w:rsidRDefault="005438C6" w:rsidP="001220D8">
            <w:pPr>
              <w:spacing w:after="0" w:line="240" w:lineRule="auto"/>
              <w:ind w:left="906" w:right="120" w:hanging="572"/>
              <w:rPr>
                <w:rFonts w:ascii="Arial" w:hAnsi="Arial" w:cs="Arial"/>
                <w:bCs/>
              </w:rPr>
            </w:pPr>
            <w:r w:rsidRPr="004C24FB">
              <w:rPr>
                <w:rFonts w:ascii="Arial" w:hAnsi="Arial" w:cs="Arial"/>
                <w:bCs/>
              </w:rPr>
              <w:tab/>
              <w:t>J Carnegie summarised her paper</w:t>
            </w:r>
            <w:r w:rsidR="001F7973" w:rsidRPr="004C24FB">
              <w:rPr>
                <w:rFonts w:ascii="Arial" w:hAnsi="Arial" w:cs="Arial"/>
                <w:bCs/>
              </w:rPr>
              <w:t xml:space="preserve"> for</w:t>
            </w:r>
            <w:r w:rsidRPr="004C24FB">
              <w:rPr>
                <w:rFonts w:ascii="Arial" w:hAnsi="Arial" w:cs="Arial"/>
                <w:bCs/>
              </w:rPr>
              <w:t xml:space="preserve"> noting, highlighting the College </w:t>
            </w:r>
            <w:r w:rsidR="00A03D02">
              <w:rPr>
                <w:rFonts w:ascii="Arial" w:hAnsi="Arial" w:cs="Arial"/>
                <w:bCs/>
              </w:rPr>
              <w:t>continues to be</w:t>
            </w:r>
            <w:r w:rsidR="00EE6BE9" w:rsidRPr="004C24FB">
              <w:rPr>
                <w:rFonts w:ascii="Arial" w:hAnsi="Arial" w:cs="Arial"/>
                <w:bCs/>
              </w:rPr>
              <w:t xml:space="preserve"> </w:t>
            </w:r>
            <w:r w:rsidRPr="004C24FB">
              <w:rPr>
                <w:rFonts w:ascii="Arial" w:hAnsi="Arial" w:cs="Arial"/>
                <w:bCs/>
              </w:rPr>
              <w:t>involved in work around the National fraud incentive</w:t>
            </w:r>
            <w:r w:rsidR="00EE6BE9" w:rsidRPr="004C24FB">
              <w:rPr>
                <w:rFonts w:ascii="Arial" w:hAnsi="Arial" w:cs="Arial"/>
                <w:bCs/>
              </w:rPr>
              <w:t xml:space="preserve">. No concerns within this area and a full analysis </w:t>
            </w:r>
            <w:r w:rsidR="00A03D02">
              <w:rPr>
                <w:rFonts w:ascii="Arial" w:hAnsi="Arial" w:cs="Arial"/>
                <w:bCs/>
              </w:rPr>
              <w:t xml:space="preserve">should be available for </w:t>
            </w:r>
            <w:r w:rsidR="00EE6BE9" w:rsidRPr="004C24FB">
              <w:rPr>
                <w:rFonts w:ascii="Arial" w:hAnsi="Arial" w:cs="Arial"/>
                <w:bCs/>
              </w:rPr>
              <w:t xml:space="preserve">the next meeting. </w:t>
            </w:r>
            <w:r w:rsidRPr="004C24FB">
              <w:rPr>
                <w:rFonts w:ascii="Arial" w:hAnsi="Arial" w:cs="Arial"/>
                <w:bCs/>
              </w:rPr>
              <w:t xml:space="preserve"> </w:t>
            </w:r>
          </w:p>
          <w:p w14:paraId="2911320E" w14:textId="77777777" w:rsidR="00A03D02" w:rsidRPr="004C24FB" w:rsidRDefault="00A03D02" w:rsidP="001220D8">
            <w:pPr>
              <w:spacing w:after="0" w:line="240" w:lineRule="auto"/>
              <w:ind w:left="906" w:right="120" w:hanging="572"/>
              <w:rPr>
                <w:rFonts w:ascii="Arial" w:hAnsi="Arial" w:cs="Arial"/>
                <w:bCs/>
              </w:rPr>
            </w:pPr>
          </w:p>
          <w:p w14:paraId="2B9EAAFB" w14:textId="7528CBF6" w:rsidR="00835807" w:rsidRDefault="005438C6" w:rsidP="001220D8">
            <w:pPr>
              <w:spacing w:after="0" w:line="240" w:lineRule="auto"/>
              <w:ind w:left="906" w:right="120" w:hanging="572"/>
              <w:rPr>
                <w:rFonts w:ascii="Arial" w:hAnsi="Arial" w:cs="Arial"/>
                <w:bCs/>
              </w:rPr>
            </w:pPr>
            <w:r w:rsidRPr="004C24FB">
              <w:rPr>
                <w:rFonts w:ascii="Arial" w:hAnsi="Arial" w:cs="Arial"/>
                <w:bCs/>
              </w:rPr>
              <w:tab/>
              <w:t>J Carnegie noted</w:t>
            </w:r>
            <w:r w:rsidR="00EE6BE9" w:rsidRPr="004C24FB">
              <w:rPr>
                <w:rFonts w:ascii="Arial" w:hAnsi="Arial" w:cs="Arial"/>
                <w:bCs/>
              </w:rPr>
              <w:t xml:space="preserve"> the report in appendix, stating there </w:t>
            </w:r>
            <w:r w:rsidR="00A03D02">
              <w:rPr>
                <w:rFonts w:ascii="Arial" w:hAnsi="Arial" w:cs="Arial"/>
                <w:bCs/>
              </w:rPr>
              <w:t>were</w:t>
            </w:r>
            <w:r w:rsidR="00EE6BE9" w:rsidRPr="004C24FB">
              <w:rPr>
                <w:rFonts w:ascii="Arial" w:hAnsi="Arial" w:cs="Arial"/>
                <w:bCs/>
              </w:rPr>
              <w:t xml:space="preserve"> technical issues with the </w:t>
            </w:r>
            <w:r w:rsidR="00A03D02">
              <w:rPr>
                <w:rFonts w:ascii="Arial" w:hAnsi="Arial" w:cs="Arial"/>
                <w:bCs/>
              </w:rPr>
              <w:t xml:space="preserve">improvement to systems for </w:t>
            </w:r>
            <w:r w:rsidR="00EE6BE9" w:rsidRPr="004C24FB">
              <w:rPr>
                <w:rFonts w:ascii="Arial" w:hAnsi="Arial" w:cs="Arial"/>
                <w:bCs/>
              </w:rPr>
              <w:t xml:space="preserve">payment of online fees for students, the system does not allow staggered payments for students. </w:t>
            </w:r>
            <w:r w:rsidR="00A03D02">
              <w:rPr>
                <w:rFonts w:ascii="Arial" w:hAnsi="Arial" w:cs="Arial"/>
                <w:bCs/>
              </w:rPr>
              <w:t>T</w:t>
            </w:r>
            <w:r w:rsidR="00EE6BE9" w:rsidRPr="004C24FB">
              <w:rPr>
                <w:rFonts w:ascii="Arial" w:hAnsi="Arial" w:cs="Arial"/>
                <w:bCs/>
              </w:rPr>
              <w:t>his w</w:t>
            </w:r>
            <w:r w:rsidR="00A03D02">
              <w:rPr>
                <w:rFonts w:ascii="Arial" w:hAnsi="Arial" w:cs="Arial"/>
                <w:bCs/>
              </w:rPr>
              <w:t>ould</w:t>
            </w:r>
            <w:r w:rsidR="00EE6BE9" w:rsidRPr="004C24FB">
              <w:rPr>
                <w:rFonts w:ascii="Arial" w:hAnsi="Arial" w:cs="Arial"/>
                <w:bCs/>
              </w:rPr>
              <w:t xml:space="preserve"> be looked at in more depth, which will take some time and discussion around this topic</w:t>
            </w:r>
            <w:r w:rsidR="008700E8" w:rsidRPr="004C24FB">
              <w:rPr>
                <w:rFonts w:ascii="Arial" w:hAnsi="Arial" w:cs="Arial"/>
                <w:bCs/>
              </w:rPr>
              <w:t xml:space="preserve">. K </w:t>
            </w:r>
            <w:r w:rsidR="00A03D02">
              <w:rPr>
                <w:rFonts w:ascii="Arial" w:hAnsi="Arial" w:cs="Arial"/>
                <w:bCs/>
              </w:rPr>
              <w:t>Keay</w:t>
            </w:r>
            <w:r w:rsidR="008700E8" w:rsidRPr="004C24FB">
              <w:rPr>
                <w:rFonts w:ascii="Arial" w:hAnsi="Arial" w:cs="Arial"/>
                <w:bCs/>
              </w:rPr>
              <w:t xml:space="preserve"> highlighted part of the paper stating if this wasn’t possible for students what would happen? K </w:t>
            </w:r>
            <w:r w:rsidR="00A03D02">
              <w:rPr>
                <w:rFonts w:ascii="Arial" w:hAnsi="Arial" w:cs="Arial"/>
                <w:bCs/>
              </w:rPr>
              <w:t>Keay</w:t>
            </w:r>
            <w:r w:rsidR="008700E8" w:rsidRPr="004C24FB">
              <w:rPr>
                <w:rFonts w:ascii="Arial" w:hAnsi="Arial" w:cs="Arial"/>
                <w:bCs/>
              </w:rPr>
              <w:t xml:space="preserve"> also asked if fee</w:t>
            </w:r>
            <w:r w:rsidR="00D46797" w:rsidRPr="004C24FB">
              <w:rPr>
                <w:rFonts w:ascii="Arial" w:hAnsi="Arial" w:cs="Arial"/>
                <w:bCs/>
              </w:rPr>
              <w:t xml:space="preserve"> </w:t>
            </w:r>
            <w:r w:rsidR="008700E8" w:rsidRPr="004C24FB">
              <w:rPr>
                <w:rFonts w:ascii="Arial" w:hAnsi="Arial" w:cs="Arial"/>
                <w:bCs/>
              </w:rPr>
              <w:t xml:space="preserve">instalments </w:t>
            </w:r>
            <w:r w:rsidR="00A03D02">
              <w:rPr>
                <w:rFonts w:ascii="Arial" w:hAnsi="Arial" w:cs="Arial"/>
                <w:bCs/>
              </w:rPr>
              <w:t>plans were</w:t>
            </w:r>
            <w:r w:rsidR="008700E8" w:rsidRPr="004C24FB">
              <w:rPr>
                <w:rFonts w:ascii="Arial" w:hAnsi="Arial" w:cs="Arial"/>
                <w:bCs/>
              </w:rPr>
              <w:t xml:space="preserve"> considered as credit agreement</w:t>
            </w:r>
            <w:r w:rsidR="00A03D02">
              <w:rPr>
                <w:rFonts w:ascii="Arial" w:hAnsi="Arial" w:cs="Arial"/>
                <w:bCs/>
              </w:rPr>
              <w:t>s</w:t>
            </w:r>
            <w:r w:rsidR="008700E8" w:rsidRPr="004C24FB">
              <w:rPr>
                <w:rFonts w:ascii="Arial" w:hAnsi="Arial" w:cs="Arial"/>
                <w:bCs/>
              </w:rPr>
              <w:t xml:space="preserve">? J Carnegie assured K </w:t>
            </w:r>
            <w:r w:rsidR="00A03D02">
              <w:rPr>
                <w:rFonts w:ascii="Arial" w:hAnsi="Arial" w:cs="Arial"/>
                <w:bCs/>
              </w:rPr>
              <w:t>Keay</w:t>
            </w:r>
            <w:r w:rsidR="008700E8" w:rsidRPr="004C24FB">
              <w:rPr>
                <w:rFonts w:ascii="Arial" w:hAnsi="Arial" w:cs="Arial"/>
                <w:bCs/>
              </w:rPr>
              <w:t xml:space="preserve"> that this is not the case, students can pay instalments with the </w:t>
            </w:r>
            <w:r w:rsidR="00FF554A" w:rsidRPr="004C24FB">
              <w:rPr>
                <w:rFonts w:ascii="Arial" w:hAnsi="Arial" w:cs="Arial"/>
                <w:bCs/>
              </w:rPr>
              <w:t>College,</w:t>
            </w:r>
            <w:r w:rsidR="008700E8" w:rsidRPr="004C24FB">
              <w:rPr>
                <w:rFonts w:ascii="Arial" w:hAnsi="Arial" w:cs="Arial"/>
                <w:bCs/>
              </w:rPr>
              <w:t xml:space="preserve"> but it is not a credit agreement</w:t>
            </w:r>
            <w:r w:rsidR="00835807">
              <w:rPr>
                <w:rFonts w:ascii="Arial" w:hAnsi="Arial" w:cs="Arial"/>
                <w:bCs/>
              </w:rPr>
              <w:t xml:space="preserve"> and confirmed that instalment arrangements were in place, but the system did not support these well, hence the recommendation for improvement.</w:t>
            </w:r>
          </w:p>
          <w:p w14:paraId="5FB55B5B" w14:textId="3CD0A6E0" w:rsidR="005438C6" w:rsidRPr="004C24FB" w:rsidRDefault="005438C6" w:rsidP="001220D8">
            <w:pPr>
              <w:spacing w:after="0" w:line="240" w:lineRule="auto"/>
              <w:ind w:left="906" w:right="120" w:hanging="572"/>
              <w:rPr>
                <w:rFonts w:ascii="Arial" w:hAnsi="Arial" w:cs="Arial"/>
                <w:bCs/>
              </w:rPr>
            </w:pPr>
            <w:r w:rsidRPr="004C24FB">
              <w:rPr>
                <w:rFonts w:ascii="Arial" w:hAnsi="Arial" w:cs="Arial"/>
                <w:bCs/>
              </w:rPr>
              <w:t xml:space="preserve"> </w:t>
            </w:r>
          </w:p>
          <w:p w14:paraId="78E31732" w14:textId="495B7188" w:rsidR="00A14E35" w:rsidRDefault="008700E8" w:rsidP="001220D8">
            <w:pPr>
              <w:spacing w:after="0" w:line="240" w:lineRule="auto"/>
              <w:ind w:left="906" w:right="120" w:hanging="572"/>
              <w:rPr>
                <w:rFonts w:ascii="Arial" w:hAnsi="Arial" w:cs="Arial"/>
                <w:bCs/>
              </w:rPr>
            </w:pPr>
            <w:r w:rsidRPr="004C24FB">
              <w:rPr>
                <w:rFonts w:ascii="Arial" w:hAnsi="Arial" w:cs="Arial"/>
                <w:bCs/>
              </w:rPr>
              <w:lastRenderedPageBreak/>
              <w:t xml:space="preserve">         J Carnegie</w:t>
            </w:r>
            <w:r w:rsidR="005F7625" w:rsidRPr="004C24FB">
              <w:rPr>
                <w:rFonts w:ascii="Arial" w:hAnsi="Arial" w:cs="Arial"/>
                <w:bCs/>
              </w:rPr>
              <w:t xml:space="preserve"> highlighted </w:t>
            </w:r>
            <w:r w:rsidR="00835807">
              <w:rPr>
                <w:rFonts w:ascii="Arial" w:hAnsi="Arial" w:cs="Arial"/>
                <w:bCs/>
              </w:rPr>
              <w:t>that some recommendations has been</w:t>
            </w:r>
            <w:r w:rsidR="00F8296A" w:rsidRPr="004C24FB">
              <w:rPr>
                <w:rFonts w:ascii="Arial" w:hAnsi="Arial" w:cs="Arial"/>
                <w:bCs/>
              </w:rPr>
              <w:t xml:space="preserve"> delayed- Data protection analytics</w:t>
            </w:r>
            <w:r w:rsidR="001866DB" w:rsidRPr="004C24FB">
              <w:rPr>
                <w:rFonts w:ascii="Arial" w:hAnsi="Arial" w:cs="Arial"/>
                <w:bCs/>
              </w:rPr>
              <w:t xml:space="preserve">, </w:t>
            </w:r>
            <w:r w:rsidR="00F8296A" w:rsidRPr="004C24FB">
              <w:rPr>
                <w:rFonts w:ascii="Arial" w:hAnsi="Arial" w:cs="Arial"/>
                <w:bCs/>
              </w:rPr>
              <w:t>compliance and Audit plan</w:t>
            </w:r>
            <w:r w:rsidR="001811AE" w:rsidRPr="004C24FB">
              <w:rPr>
                <w:rFonts w:ascii="Arial" w:hAnsi="Arial" w:cs="Arial"/>
                <w:bCs/>
              </w:rPr>
              <w:t xml:space="preserve">- </w:t>
            </w:r>
            <w:r w:rsidR="00835807">
              <w:rPr>
                <w:rFonts w:ascii="Arial" w:hAnsi="Arial" w:cs="Arial"/>
                <w:bCs/>
              </w:rPr>
              <w:t xml:space="preserve">but </w:t>
            </w:r>
            <w:r w:rsidR="001811AE" w:rsidRPr="004C24FB">
              <w:rPr>
                <w:rFonts w:ascii="Arial" w:hAnsi="Arial" w:cs="Arial"/>
                <w:bCs/>
              </w:rPr>
              <w:t>these w</w:t>
            </w:r>
            <w:r w:rsidR="007E35C3">
              <w:rPr>
                <w:rFonts w:ascii="Arial" w:hAnsi="Arial" w:cs="Arial"/>
                <w:bCs/>
              </w:rPr>
              <w:t>ould</w:t>
            </w:r>
            <w:r w:rsidR="001811AE" w:rsidRPr="004C24FB">
              <w:rPr>
                <w:rFonts w:ascii="Arial" w:hAnsi="Arial" w:cs="Arial"/>
                <w:bCs/>
              </w:rPr>
              <w:t xml:space="preserve"> be completed by the end of June 2023</w:t>
            </w:r>
            <w:r w:rsidR="00A14E35" w:rsidRPr="004C24FB">
              <w:rPr>
                <w:rFonts w:ascii="Arial" w:hAnsi="Arial" w:cs="Arial"/>
                <w:bCs/>
              </w:rPr>
              <w:t>.</w:t>
            </w:r>
          </w:p>
          <w:p w14:paraId="01FBF94E" w14:textId="77777777" w:rsidR="007E35C3" w:rsidRPr="004C24FB" w:rsidRDefault="007E35C3" w:rsidP="001220D8">
            <w:pPr>
              <w:spacing w:after="0" w:line="240" w:lineRule="auto"/>
              <w:ind w:left="906" w:right="120" w:hanging="572"/>
              <w:rPr>
                <w:rFonts w:ascii="Arial" w:hAnsi="Arial" w:cs="Arial"/>
                <w:bCs/>
              </w:rPr>
            </w:pPr>
          </w:p>
          <w:p w14:paraId="34AE9DBF" w14:textId="6B559CF3" w:rsidR="00A14E35" w:rsidRPr="004C24FB" w:rsidRDefault="00A14E35" w:rsidP="001220D8">
            <w:pPr>
              <w:spacing w:after="0" w:line="240" w:lineRule="auto"/>
              <w:ind w:left="906" w:right="120" w:hanging="572"/>
              <w:rPr>
                <w:rFonts w:ascii="Arial" w:hAnsi="Arial" w:cs="Arial"/>
                <w:bCs/>
              </w:rPr>
            </w:pPr>
            <w:r w:rsidRPr="004C24FB">
              <w:rPr>
                <w:rFonts w:ascii="Arial" w:hAnsi="Arial" w:cs="Arial"/>
                <w:bCs/>
              </w:rPr>
              <w:t xml:space="preserve">        </w:t>
            </w:r>
            <w:r w:rsidR="0071342E" w:rsidRPr="004C24FB">
              <w:rPr>
                <w:rFonts w:ascii="Arial" w:hAnsi="Arial" w:cs="Arial"/>
                <w:bCs/>
              </w:rPr>
              <w:t xml:space="preserve"> </w:t>
            </w:r>
            <w:r w:rsidR="0043030C" w:rsidRPr="004C24FB">
              <w:rPr>
                <w:rFonts w:ascii="Arial" w:hAnsi="Arial" w:cs="Arial"/>
                <w:bCs/>
              </w:rPr>
              <w:t>H Honeym</w:t>
            </w:r>
            <w:r w:rsidR="007E35C3">
              <w:rPr>
                <w:rFonts w:ascii="Arial" w:hAnsi="Arial" w:cs="Arial"/>
                <w:bCs/>
              </w:rPr>
              <w:t>an</w:t>
            </w:r>
            <w:r w:rsidR="0043030C" w:rsidRPr="004C24FB">
              <w:rPr>
                <w:rFonts w:ascii="Arial" w:hAnsi="Arial" w:cs="Arial"/>
                <w:bCs/>
              </w:rPr>
              <w:t xml:space="preserve"> thanked J Carnegie for the report, stating the </w:t>
            </w:r>
            <w:r w:rsidR="007E35C3">
              <w:rPr>
                <w:rFonts w:ascii="Arial" w:hAnsi="Arial" w:cs="Arial"/>
                <w:bCs/>
              </w:rPr>
              <w:t>C</w:t>
            </w:r>
            <w:r w:rsidR="0043030C" w:rsidRPr="004C24FB">
              <w:rPr>
                <w:rFonts w:ascii="Arial" w:hAnsi="Arial" w:cs="Arial"/>
                <w:bCs/>
              </w:rPr>
              <w:t xml:space="preserve">ollege </w:t>
            </w:r>
            <w:r w:rsidR="007E35C3">
              <w:rPr>
                <w:rFonts w:ascii="Arial" w:hAnsi="Arial" w:cs="Arial"/>
                <w:bCs/>
              </w:rPr>
              <w:t>wa</w:t>
            </w:r>
            <w:r w:rsidR="0043030C" w:rsidRPr="004C24FB">
              <w:rPr>
                <w:rFonts w:ascii="Arial" w:hAnsi="Arial" w:cs="Arial"/>
                <w:bCs/>
              </w:rPr>
              <w:t>s in a good position</w:t>
            </w:r>
            <w:r w:rsidR="007E35C3">
              <w:rPr>
                <w:rFonts w:ascii="Arial" w:hAnsi="Arial" w:cs="Arial"/>
                <w:bCs/>
              </w:rPr>
              <w:t xml:space="preserve"> in terms of monitoring and enacting audit recommendations</w:t>
            </w:r>
            <w:r w:rsidR="0043030C" w:rsidRPr="004C24FB">
              <w:rPr>
                <w:rFonts w:ascii="Arial" w:hAnsi="Arial" w:cs="Arial"/>
                <w:bCs/>
              </w:rPr>
              <w:t xml:space="preserve">. </w:t>
            </w:r>
          </w:p>
          <w:p w14:paraId="5F8A7487" w14:textId="6B960642" w:rsidR="00B15EFC" w:rsidRPr="004C24FB" w:rsidRDefault="00B15EFC" w:rsidP="001220D8">
            <w:pPr>
              <w:pStyle w:val="TableParagraph"/>
              <w:ind w:left="906"/>
              <w:rPr>
                <w:bCs/>
                <w:lang w:val="en-GB"/>
              </w:rPr>
            </w:pPr>
          </w:p>
        </w:tc>
      </w:tr>
      <w:tr w:rsidR="00E417DD" w:rsidRPr="004C24FB" w14:paraId="1FC1E86B" w14:textId="77777777" w:rsidTr="00B02BCB">
        <w:trPr>
          <w:trHeight w:val="506"/>
        </w:trPr>
        <w:tc>
          <w:tcPr>
            <w:tcW w:w="567" w:type="dxa"/>
          </w:tcPr>
          <w:p w14:paraId="7050002E" w14:textId="77777777" w:rsidR="00E417DD" w:rsidRPr="004C24FB" w:rsidRDefault="00E417DD" w:rsidP="001220D8">
            <w:pPr>
              <w:pStyle w:val="TableParagraph"/>
              <w:numPr>
                <w:ilvl w:val="0"/>
                <w:numId w:val="1"/>
              </w:numPr>
              <w:ind w:left="170" w:firstLine="0"/>
              <w:rPr>
                <w:b/>
                <w:lang w:val="en-GB"/>
              </w:rPr>
            </w:pPr>
          </w:p>
        </w:tc>
        <w:tc>
          <w:tcPr>
            <w:tcW w:w="9418" w:type="dxa"/>
          </w:tcPr>
          <w:p w14:paraId="7E4C8A17" w14:textId="77777777" w:rsidR="00E417DD" w:rsidRDefault="00DE056E" w:rsidP="00621C32">
            <w:pPr>
              <w:pStyle w:val="TableParagraph"/>
              <w:tabs>
                <w:tab w:val="left" w:pos="428"/>
                <w:tab w:val="left" w:pos="950"/>
              </w:tabs>
              <w:ind w:right="236"/>
              <w:rPr>
                <w:b/>
                <w:bCs/>
                <w:lang w:val="en-GB"/>
              </w:rPr>
            </w:pPr>
            <w:r>
              <w:rPr>
                <w:b/>
                <w:bCs/>
                <w:lang w:val="en-GB"/>
              </w:rPr>
              <w:t>RISK MANAGEMENT POLICY UPDATE</w:t>
            </w:r>
          </w:p>
          <w:p w14:paraId="02752A1D" w14:textId="77777777" w:rsidR="00DE056E" w:rsidRDefault="00DE056E" w:rsidP="00621C32">
            <w:pPr>
              <w:pStyle w:val="TableParagraph"/>
              <w:tabs>
                <w:tab w:val="left" w:pos="428"/>
                <w:tab w:val="left" w:pos="950"/>
              </w:tabs>
              <w:ind w:right="236"/>
              <w:rPr>
                <w:b/>
                <w:bCs/>
                <w:lang w:val="en-GB"/>
              </w:rPr>
            </w:pPr>
          </w:p>
          <w:p w14:paraId="57CADACB" w14:textId="77777777" w:rsidR="00DE056E" w:rsidRDefault="00DE056E" w:rsidP="00621C32">
            <w:pPr>
              <w:pStyle w:val="TableParagraph"/>
              <w:rPr>
                <w:bCs/>
                <w:lang w:val="en-GB"/>
              </w:rPr>
            </w:pPr>
            <w:r w:rsidRPr="004C24FB">
              <w:rPr>
                <w:bCs/>
                <w:lang w:val="en-GB"/>
              </w:rPr>
              <w:t xml:space="preserve">S Taylor summarised the paper </w:t>
            </w:r>
            <w:r>
              <w:rPr>
                <w:bCs/>
                <w:lang w:val="en-GB"/>
              </w:rPr>
              <w:t xml:space="preserve">noting that the usual document control and review timeline had slipped during </w:t>
            </w:r>
            <w:r w:rsidRPr="004C24FB">
              <w:rPr>
                <w:bCs/>
                <w:lang w:val="en-GB"/>
              </w:rPr>
              <w:t xml:space="preserve">Covid, </w:t>
            </w:r>
            <w:r>
              <w:rPr>
                <w:bCs/>
                <w:lang w:val="en-GB"/>
              </w:rPr>
              <w:t>but these were now getting</w:t>
            </w:r>
            <w:r w:rsidRPr="004C24FB">
              <w:rPr>
                <w:bCs/>
                <w:lang w:val="en-GB"/>
              </w:rPr>
              <w:t xml:space="preserve"> back on schedule.  </w:t>
            </w:r>
          </w:p>
          <w:p w14:paraId="4169B7F6" w14:textId="77777777" w:rsidR="00DE056E" w:rsidRDefault="00DE056E" w:rsidP="00621C32">
            <w:pPr>
              <w:pStyle w:val="TableParagraph"/>
              <w:rPr>
                <w:bCs/>
                <w:lang w:val="en-GB"/>
              </w:rPr>
            </w:pPr>
          </w:p>
          <w:p w14:paraId="6C8957F5" w14:textId="77777777" w:rsidR="00367774" w:rsidRDefault="00DE056E" w:rsidP="00621C32">
            <w:pPr>
              <w:pStyle w:val="TableParagraph"/>
              <w:rPr>
                <w:bCs/>
                <w:lang w:val="en-GB"/>
              </w:rPr>
            </w:pPr>
            <w:r w:rsidRPr="004C24FB">
              <w:rPr>
                <w:bCs/>
                <w:lang w:val="en-GB"/>
              </w:rPr>
              <w:t xml:space="preserve">S Taylor summarised the </w:t>
            </w:r>
            <w:r>
              <w:rPr>
                <w:bCs/>
                <w:lang w:val="en-GB"/>
              </w:rPr>
              <w:t>updates made to the policy, highlighting that most of these were minimal</w:t>
            </w:r>
            <w:r w:rsidR="00367774">
              <w:rPr>
                <w:bCs/>
                <w:lang w:val="en-GB"/>
              </w:rPr>
              <w:t xml:space="preserve"> and reflected improvements made to risk management practice since the last policy review.</w:t>
            </w:r>
          </w:p>
          <w:p w14:paraId="6128468D" w14:textId="77777777" w:rsidR="00367774" w:rsidRDefault="00367774" w:rsidP="00621C32">
            <w:pPr>
              <w:pStyle w:val="TableParagraph"/>
              <w:rPr>
                <w:bCs/>
                <w:lang w:val="en-GB"/>
              </w:rPr>
            </w:pPr>
          </w:p>
          <w:p w14:paraId="39D0543E" w14:textId="7AB270AF" w:rsidR="00DE056E" w:rsidRPr="004C24FB" w:rsidRDefault="00DE056E" w:rsidP="00621C32">
            <w:pPr>
              <w:pStyle w:val="TableParagraph"/>
              <w:rPr>
                <w:bCs/>
                <w:lang w:val="en-GB"/>
              </w:rPr>
            </w:pPr>
            <w:r w:rsidRPr="004C24FB">
              <w:rPr>
                <w:bCs/>
                <w:lang w:val="en-GB"/>
              </w:rPr>
              <w:t xml:space="preserve">D Archibald </w:t>
            </w:r>
            <w:r w:rsidR="00367774">
              <w:rPr>
                <w:bCs/>
                <w:lang w:val="en-GB"/>
              </w:rPr>
              <w:t>stated that</w:t>
            </w:r>
            <w:r w:rsidRPr="004C24FB">
              <w:rPr>
                <w:bCs/>
                <w:lang w:val="en-GB"/>
              </w:rPr>
              <w:t xml:space="preserve"> the </w:t>
            </w:r>
            <w:r w:rsidR="001B52AF">
              <w:rPr>
                <w:bCs/>
                <w:lang w:val="en-GB"/>
              </w:rPr>
              <w:t xml:space="preserve">College showed good </w:t>
            </w:r>
            <w:r w:rsidRPr="004C24FB">
              <w:rPr>
                <w:bCs/>
                <w:lang w:val="en-GB"/>
              </w:rPr>
              <w:t xml:space="preserve">risk maturity </w:t>
            </w:r>
            <w:r w:rsidR="001B52AF">
              <w:rPr>
                <w:bCs/>
                <w:lang w:val="en-GB"/>
              </w:rPr>
              <w:t>and noted that the approach adopted to review risks at each Board Committee was good practice not seen in most other organisations.</w:t>
            </w:r>
            <w:r w:rsidRPr="004C24FB">
              <w:rPr>
                <w:bCs/>
                <w:lang w:val="en-GB"/>
              </w:rPr>
              <w:t xml:space="preserve"> </w:t>
            </w:r>
          </w:p>
          <w:p w14:paraId="083C9EC6" w14:textId="77777777" w:rsidR="00DE056E" w:rsidRPr="004C24FB" w:rsidRDefault="00DE056E" w:rsidP="00621C32">
            <w:pPr>
              <w:pStyle w:val="TableParagraph"/>
              <w:rPr>
                <w:bCs/>
                <w:lang w:val="en-GB"/>
              </w:rPr>
            </w:pPr>
          </w:p>
          <w:p w14:paraId="18A3DA03" w14:textId="5F6079C5" w:rsidR="00DE056E" w:rsidRPr="004C24FB" w:rsidRDefault="00DE056E" w:rsidP="00621C32">
            <w:pPr>
              <w:pStyle w:val="TableParagraph"/>
              <w:rPr>
                <w:bCs/>
                <w:lang w:val="en-GB"/>
              </w:rPr>
            </w:pPr>
            <w:r w:rsidRPr="004C24FB">
              <w:rPr>
                <w:bCs/>
                <w:lang w:val="en-GB"/>
              </w:rPr>
              <w:t>H Honeym</w:t>
            </w:r>
            <w:r w:rsidR="00B02BCB">
              <w:rPr>
                <w:bCs/>
                <w:lang w:val="en-GB"/>
              </w:rPr>
              <w:t>an</w:t>
            </w:r>
            <w:r w:rsidRPr="004C24FB">
              <w:rPr>
                <w:bCs/>
                <w:lang w:val="en-GB"/>
              </w:rPr>
              <w:t xml:space="preserve"> </w:t>
            </w:r>
            <w:r w:rsidR="0034381C">
              <w:rPr>
                <w:bCs/>
                <w:lang w:val="en-GB"/>
              </w:rPr>
              <w:t>welcomed the changes identified and the updated policy was approved.</w:t>
            </w:r>
            <w:r w:rsidRPr="004C24FB">
              <w:rPr>
                <w:bCs/>
                <w:lang w:val="en-GB"/>
              </w:rPr>
              <w:t xml:space="preserve"> </w:t>
            </w:r>
          </w:p>
          <w:p w14:paraId="4823C824" w14:textId="595A90E3" w:rsidR="00DE056E" w:rsidRPr="00DE056E" w:rsidRDefault="00DE056E" w:rsidP="001220D8">
            <w:pPr>
              <w:pStyle w:val="TableParagraph"/>
              <w:tabs>
                <w:tab w:val="left" w:pos="428"/>
                <w:tab w:val="left" w:pos="950"/>
              </w:tabs>
              <w:ind w:left="54" w:right="236"/>
              <w:rPr>
                <w:lang w:val="en-GB"/>
              </w:rPr>
            </w:pPr>
          </w:p>
        </w:tc>
      </w:tr>
      <w:tr w:rsidR="005438C6" w:rsidRPr="004C24FB" w14:paraId="17E14FF8" w14:textId="77777777" w:rsidTr="00B02BCB">
        <w:trPr>
          <w:trHeight w:val="506"/>
        </w:trPr>
        <w:tc>
          <w:tcPr>
            <w:tcW w:w="567" w:type="dxa"/>
          </w:tcPr>
          <w:p w14:paraId="2CF70F6F" w14:textId="77777777" w:rsidR="005438C6" w:rsidRPr="004C24FB" w:rsidRDefault="005438C6" w:rsidP="001220D8">
            <w:pPr>
              <w:pStyle w:val="TableParagraph"/>
              <w:numPr>
                <w:ilvl w:val="0"/>
                <w:numId w:val="1"/>
              </w:numPr>
              <w:ind w:left="170" w:firstLine="0"/>
              <w:rPr>
                <w:b/>
                <w:lang w:val="en-GB"/>
              </w:rPr>
            </w:pPr>
          </w:p>
        </w:tc>
        <w:tc>
          <w:tcPr>
            <w:tcW w:w="9418" w:type="dxa"/>
          </w:tcPr>
          <w:p w14:paraId="1D17F396" w14:textId="410776F9" w:rsidR="005438C6" w:rsidRPr="004C24FB" w:rsidRDefault="00F06EE5" w:rsidP="00621C32">
            <w:pPr>
              <w:pStyle w:val="TableParagraph"/>
              <w:tabs>
                <w:tab w:val="left" w:pos="428"/>
                <w:tab w:val="left" w:pos="950"/>
              </w:tabs>
              <w:ind w:right="236"/>
              <w:rPr>
                <w:b/>
                <w:bCs/>
                <w:lang w:val="en-GB"/>
              </w:rPr>
            </w:pPr>
            <w:r w:rsidRPr="004C24FB">
              <w:rPr>
                <w:b/>
                <w:bCs/>
                <w:lang w:val="en-GB"/>
              </w:rPr>
              <w:t>S</w:t>
            </w:r>
            <w:r w:rsidR="00A00F6F" w:rsidRPr="004C24FB">
              <w:rPr>
                <w:b/>
                <w:bCs/>
                <w:lang w:val="en-GB"/>
              </w:rPr>
              <w:t>TRATEGIC RISK REGISTER</w:t>
            </w:r>
          </w:p>
          <w:p w14:paraId="3AE8884D" w14:textId="77777777" w:rsidR="005438C6" w:rsidRDefault="005438C6" w:rsidP="00621C32">
            <w:pPr>
              <w:pStyle w:val="TableParagraph"/>
              <w:tabs>
                <w:tab w:val="left" w:pos="428"/>
                <w:tab w:val="left" w:pos="950"/>
              </w:tabs>
              <w:ind w:right="236"/>
              <w:rPr>
                <w:b/>
                <w:bCs/>
                <w:lang w:val="en-GB"/>
              </w:rPr>
            </w:pPr>
          </w:p>
          <w:p w14:paraId="1B4C07D1" w14:textId="77777777" w:rsidR="00AF70F7" w:rsidRDefault="0034381C" w:rsidP="00621C32">
            <w:pPr>
              <w:pStyle w:val="TableParagraph"/>
              <w:tabs>
                <w:tab w:val="left" w:pos="428"/>
                <w:tab w:val="left" w:pos="950"/>
              </w:tabs>
              <w:ind w:right="236"/>
              <w:rPr>
                <w:lang w:val="en-GB"/>
              </w:rPr>
            </w:pPr>
            <w:r w:rsidRPr="004C24FB">
              <w:rPr>
                <w:lang w:val="en-GB"/>
              </w:rPr>
              <w:t xml:space="preserve">S Taylor discussed the </w:t>
            </w:r>
            <w:r w:rsidR="00FA4E73">
              <w:rPr>
                <w:lang w:val="en-GB"/>
              </w:rPr>
              <w:t xml:space="preserve">paper summarising changes to the Strategic Risk </w:t>
            </w:r>
            <w:r w:rsidR="006C78B6">
              <w:rPr>
                <w:lang w:val="en-GB"/>
              </w:rPr>
              <w:t>Register</w:t>
            </w:r>
            <w:r w:rsidR="00767669">
              <w:rPr>
                <w:lang w:val="en-GB"/>
              </w:rPr>
              <w:t xml:space="preserve"> noting that the S</w:t>
            </w:r>
            <w:r w:rsidRPr="004C24FB">
              <w:rPr>
                <w:lang w:val="en-GB"/>
              </w:rPr>
              <w:t xml:space="preserve">enior </w:t>
            </w:r>
            <w:r w:rsidR="00767669">
              <w:rPr>
                <w:lang w:val="en-GB"/>
              </w:rPr>
              <w:t>Leadership team had reviewed</w:t>
            </w:r>
            <w:r w:rsidR="00AF70F7">
              <w:rPr>
                <w:lang w:val="en-GB"/>
              </w:rPr>
              <w:t xml:space="preserve"> the comments made by L O’Donnell and made amendments where it was felt appropriate.</w:t>
            </w:r>
          </w:p>
          <w:p w14:paraId="4F5AC70F" w14:textId="77777777" w:rsidR="00AF70F7" w:rsidRDefault="00AF70F7" w:rsidP="00621C32">
            <w:pPr>
              <w:pStyle w:val="TableParagraph"/>
              <w:tabs>
                <w:tab w:val="left" w:pos="428"/>
                <w:tab w:val="left" w:pos="950"/>
              </w:tabs>
              <w:ind w:right="236"/>
              <w:rPr>
                <w:lang w:val="en-GB"/>
              </w:rPr>
            </w:pPr>
          </w:p>
          <w:p w14:paraId="1F7E3BE8" w14:textId="77777777" w:rsidR="008076CD" w:rsidRDefault="0034381C" w:rsidP="00621C32">
            <w:pPr>
              <w:pStyle w:val="TableParagraph"/>
              <w:tabs>
                <w:tab w:val="left" w:pos="428"/>
                <w:tab w:val="left" w:pos="950"/>
              </w:tabs>
              <w:ind w:right="236"/>
              <w:rPr>
                <w:lang w:val="en-GB"/>
              </w:rPr>
            </w:pPr>
            <w:r w:rsidRPr="004C24FB">
              <w:rPr>
                <w:lang w:val="en-GB"/>
              </w:rPr>
              <w:t xml:space="preserve">S Taylor </w:t>
            </w:r>
            <w:r w:rsidR="00AF70F7">
              <w:rPr>
                <w:lang w:val="en-GB"/>
              </w:rPr>
              <w:t>summarised the changes proposed and outli</w:t>
            </w:r>
            <w:r w:rsidR="008076CD">
              <w:rPr>
                <w:lang w:val="en-GB"/>
              </w:rPr>
              <w:t>n</w:t>
            </w:r>
            <w:r w:rsidR="00AF70F7">
              <w:rPr>
                <w:lang w:val="en-GB"/>
              </w:rPr>
              <w:t xml:space="preserve">ed areas where change was considered, but not progressed.  </w:t>
            </w:r>
            <w:r w:rsidR="008076CD">
              <w:rPr>
                <w:lang w:val="en-GB"/>
              </w:rPr>
              <w:t>These were discussed with the Committee and the rationale noted in each case.</w:t>
            </w:r>
          </w:p>
          <w:p w14:paraId="7A60F3C1" w14:textId="77777777" w:rsidR="008076CD" w:rsidRDefault="008076CD" w:rsidP="00621C32">
            <w:pPr>
              <w:pStyle w:val="TableParagraph"/>
              <w:tabs>
                <w:tab w:val="left" w:pos="428"/>
                <w:tab w:val="left" w:pos="950"/>
              </w:tabs>
              <w:ind w:right="236"/>
              <w:rPr>
                <w:lang w:val="en-GB"/>
              </w:rPr>
            </w:pPr>
          </w:p>
          <w:p w14:paraId="4B0CA978" w14:textId="2AE82487" w:rsidR="00713F47" w:rsidRDefault="004A2B4E" w:rsidP="00621C32">
            <w:pPr>
              <w:widowControl w:val="0"/>
              <w:tabs>
                <w:tab w:val="left" w:pos="428"/>
                <w:tab w:val="left" w:pos="950"/>
              </w:tabs>
              <w:autoSpaceDE w:val="0"/>
              <w:autoSpaceDN w:val="0"/>
              <w:spacing w:after="0" w:line="240" w:lineRule="auto"/>
              <w:rPr>
                <w:rFonts w:ascii="Arial" w:eastAsia="Arial" w:hAnsi="Arial" w:cs="Arial"/>
                <w:bCs/>
                <w:color w:val="auto"/>
                <w:lang w:eastAsia="en-US"/>
              </w:rPr>
            </w:pPr>
            <w:r w:rsidRPr="004C24FB">
              <w:rPr>
                <w:rFonts w:ascii="Arial" w:eastAsia="Arial" w:hAnsi="Arial" w:cs="Arial"/>
                <w:bCs/>
                <w:color w:val="auto"/>
                <w:lang w:eastAsia="en-US"/>
              </w:rPr>
              <w:t xml:space="preserve">S Taylor highlighted </w:t>
            </w:r>
            <w:r w:rsidR="000032C9" w:rsidRPr="004C24FB">
              <w:rPr>
                <w:rFonts w:ascii="Arial" w:eastAsia="Arial" w:hAnsi="Arial" w:cs="Arial"/>
                <w:bCs/>
                <w:color w:val="auto"/>
                <w:lang w:eastAsia="en-US"/>
              </w:rPr>
              <w:t>the Brexit Risk</w:t>
            </w:r>
            <w:r w:rsidR="008076CD">
              <w:rPr>
                <w:rFonts w:ascii="Arial" w:eastAsia="Arial" w:hAnsi="Arial" w:cs="Arial"/>
                <w:bCs/>
                <w:color w:val="auto"/>
                <w:lang w:eastAsia="en-US"/>
              </w:rPr>
              <w:t xml:space="preserve">, noting that this had </w:t>
            </w:r>
            <w:r w:rsidR="000032C9" w:rsidRPr="004C24FB">
              <w:rPr>
                <w:rFonts w:ascii="Arial" w:eastAsia="Arial" w:hAnsi="Arial" w:cs="Arial"/>
                <w:bCs/>
                <w:color w:val="auto"/>
                <w:lang w:eastAsia="en-US"/>
              </w:rPr>
              <w:t xml:space="preserve">decreased from the initial concern of this. M Thomson asked if this was a Brexit risk or a </w:t>
            </w:r>
            <w:r w:rsidR="008076CD">
              <w:rPr>
                <w:rFonts w:ascii="Arial" w:eastAsia="Arial" w:hAnsi="Arial" w:cs="Arial"/>
                <w:bCs/>
                <w:color w:val="auto"/>
                <w:lang w:eastAsia="en-US"/>
              </w:rPr>
              <w:t>wider p</w:t>
            </w:r>
            <w:r w:rsidR="000032C9" w:rsidRPr="004C24FB">
              <w:rPr>
                <w:rFonts w:ascii="Arial" w:eastAsia="Arial" w:hAnsi="Arial" w:cs="Arial"/>
                <w:bCs/>
                <w:color w:val="auto"/>
                <w:lang w:eastAsia="en-US"/>
              </w:rPr>
              <w:t xml:space="preserve">olitical </w:t>
            </w:r>
            <w:r w:rsidR="008076CD">
              <w:rPr>
                <w:rFonts w:ascii="Arial" w:eastAsia="Arial" w:hAnsi="Arial" w:cs="Arial"/>
                <w:bCs/>
                <w:color w:val="auto"/>
                <w:lang w:eastAsia="en-US"/>
              </w:rPr>
              <w:t>r</w:t>
            </w:r>
            <w:r w:rsidR="000032C9" w:rsidRPr="004C24FB">
              <w:rPr>
                <w:rFonts w:ascii="Arial" w:eastAsia="Arial" w:hAnsi="Arial" w:cs="Arial"/>
                <w:bCs/>
                <w:color w:val="auto"/>
                <w:lang w:eastAsia="en-US"/>
              </w:rPr>
              <w:t>isk</w:t>
            </w:r>
            <w:r w:rsidR="008076CD">
              <w:rPr>
                <w:rFonts w:ascii="Arial" w:eastAsia="Arial" w:hAnsi="Arial" w:cs="Arial"/>
                <w:bCs/>
                <w:color w:val="auto"/>
                <w:lang w:eastAsia="en-US"/>
              </w:rPr>
              <w:t xml:space="preserve"> and it was noted that this related </w:t>
            </w:r>
            <w:r w:rsidR="00713F47">
              <w:rPr>
                <w:rFonts w:ascii="Arial" w:eastAsia="Arial" w:hAnsi="Arial" w:cs="Arial"/>
                <w:bCs/>
                <w:color w:val="auto"/>
                <w:lang w:eastAsia="en-US"/>
              </w:rPr>
              <w:t xml:space="preserve">only to Brexit.  Following discussion it was noted that this risk should be reviewed for the next meeting as it may no longer be required and could be written into the broader political change risk within the register.  </w:t>
            </w:r>
            <w:r w:rsidR="00713F47" w:rsidRPr="00713F47">
              <w:rPr>
                <w:rFonts w:ascii="Arial" w:eastAsia="Arial" w:hAnsi="Arial" w:cs="Arial"/>
                <w:b/>
                <w:color w:val="auto"/>
                <w:lang w:eastAsia="en-US"/>
              </w:rPr>
              <w:t>S Taylor to progress.</w:t>
            </w:r>
          </w:p>
          <w:p w14:paraId="45792814" w14:textId="54035F3B" w:rsidR="000E728C" w:rsidRPr="004C24FB" w:rsidRDefault="000E728C" w:rsidP="00621C32">
            <w:pPr>
              <w:widowControl w:val="0"/>
              <w:tabs>
                <w:tab w:val="left" w:pos="428"/>
                <w:tab w:val="left" w:pos="950"/>
              </w:tabs>
              <w:autoSpaceDE w:val="0"/>
              <w:autoSpaceDN w:val="0"/>
              <w:spacing w:after="0" w:line="240" w:lineRule="auto"/>
              <w:rPr>
                <w:rFonts w:ascii="Arial" w:eastAsia="Arial" w:hAnsi="Arial" w:cs="Arial"/>
                <w:bCs/>
                <w:color w:val="FF0000"/>
                <w:lang w:eastAsia="en-US"/>
              </w:rPr>
            </w:pPr>
          </w:p>
          <w:p w14:paraId="2D6A2493" w14:textId="1E627F66" w:rsidR="00F06EE5" w:rsidRPr="004C24FB" w:rsidRDefault="000E728C" w:rsidP="00621C32">
            <w:pPr>
              <w:widowControl w:val="0"/>
              <w:tabs>
                <w:tab w:val="left" w:pos="428"/>
                <w:tab w:val="left" w:pos="950"/>
              </w:tabs>
              <w:autoSpaceDE w:val="0"/>
              <w:autoSpaceDN w:val="0"/>
              <w:spacing w:after="0" w:line="240" w:lineRule="auto"/>
              <w:rPr>
                <w:rFonts w:ascii="Arial" w:eastAsia="Arial" w:hAnsi="Arial" w:cs="Arial"/>
                <w:bCs/>
                <w:color w:val="auto"/>
                <w:lang w:eastAsia="en-US"/>
              </w:rPr>
            </w:pPr>
            <w:r w:rsidRPr="004C24FB">
              <w:rPr>
                <w:rFonts w:ascii="Arial" w:eastAsia="Arial" w:hAnsi="Arial" w:cs="Arial"/>
                <w:bCs/>
                <w:color w:val="auto"/>
                <w:lang w:eastAsia="en-US"/>
              </w:rPr>
              <w:t xml:space="preserve">K Ditcham </w:t>
            </w:r>
            <w:r w:rsidR="007E615E">
              <w:rPr>
                <w:rFonts w:ascii="Arial" w:eastAsia="Arial" w:hAnsi="Arial" w:cs="Arial"/>
                <w:bCs/>
                <w:color w:val="auto"/>
                <w:lang w:eastAsia="en-US"/>
              </w:rPr>
              <w:t>noted the significant risk around financial sustainability and asked about arrangements to address this</w:t>
            </w:r>
            <w:r w:rsidR="00523B5B">
              <w:rPr>
                <w:rFonts w:ascii="Arial" w:eastAsia="Arial" w:hAnsi="Arial" w:cs="Arial"/>
                <w:bCs/>
                <w:color w:val="auto"/>
                <w:lang w:eastAsia="en-US"/>
              </w:rPr>
              <w:t xml:space="preserve"> which </w:t>
            </w:r>
            <w:r w:rsidR="00C2555A">
              <w:rPr>
                <w:rFonts w:ascii="Arial" w:eastAsia="Arial" w:hAnsi="Arial" w:cs="Arial"/>
                <w:bCs/>
                <w:color w:val="auto"/>
                <w:lang w:eastAsia="en-US"/>
              </w:rPr>
              <w:t xml:space="preserve">assessed and </w:t>
            </w:r>
            <w:r w:rsidR="00523B5B">
              <w:rPr>
                <w:rFonts w:ascii="Arial" w:eastAsia="Arial" w:hAnsi="Arial" w:cs="Arial"/>
                <w:bCs/>
                <w:color w:val="auto"/>
                <w:lang w:eastAsia="en-US"/>
              </w:rPr>
              <w:t>minimised impact on students and staff</w:t>
            </w:r>
            <w:r w:rsidR="007E615E">
              <w:rPr>
                <w:rFonts w:ascii="Arial" w:eastAsia="Arial" w:hAnsi="Arial" w:cs="Arial"/>
                <w:bCs/>
                <w:color w:val="auto"/>
                <w:lang w:eastAsia="en-US"/>
              </w:rPr>
              <w:t xml:space="preserve">.  </w:t>
            </w:r>
            <w:r w:rsidR="00624281" w:rsidRPr="004C24FB">
              <w:rPr>
                <w:rFonts w:ascii="Arial" w:eastAsia="Arial" w:hAnsi="Arial" w:cs="Arial"/>
                <w:bCs/>
                <w:color w:val="auto"/>
                <w:lang w:eastAsia="en-US"/>
              </w:rPr>
              <w:t>S</w:t>
            </w:r>
            <w:r w:rsidR="00C2555A">
              <w:rPr>
                <w:rFonts w:ascii="Arial" w:eastAsia="Arial" w:hAnsi="Arial" w:cs="Arial"/>
                <w:bCs/>
                <w:color w:val="auto"/>
                <w:lang w:eastAsia="en-US"/>
              </w:rPr>
              <w:t> </w:t>
            </w:r>
            <w:r w:rsidR="00624281" w:rsidRPr="004C24FB">
              <w:rPr>
                <w:rFonts w:ascii="Arial" w:eastAsia="Arial" w:hAnsi="Arial" w:cs="Arial"/>
                <w:bCs/>
                <w:color w:val="auto"/>
                <w:lang w:eastAsia="en-US"/>
              </w:rPr>
              <w:t>Taylor stated</w:t>
            </w:r>
            <w:r w:rsidR="00645253" w:rsidRPr="004C24FB">
              <w:rPr>
                <w:rFonts w:ascii="Arial" w:eastAsia="Arial" w:hAnsi="Arial" w:cs="Arial"/>
                <w:bCs/>
                <w:color w:val="auto"/>
                <w:lang w:eastAsia="en-US"/>
              </w:rPr>
              <w:t xml:space="preserve"> there are ongoing </w:t>
            </w:r>
            <w:r w:rsidR="007E615E">
              <w:rPr>
                <w:rFonts w:ascii="Arial" w:eastAsia="Arial" w:hAnsi="Arial" w:cs="Arial"/>
                <w:bCs/>
                <w:color w:val="auto"/>
                <w:lang w:eastAsia="en-US"/>
              </w:rPr>
              <w:t xml:space="preserve">planning and </w:t>
            </w:r>
            <w:r w:rsidR="00645253" w:rsidRPr="004C24FB">
              <w:rPr>
                <w:rFonts w:ascii="Arial" w:eastAsia="Arial" w:hAnsi="Arial" w:cs="Arial"/>
                <w:bCs/>
                <w:color w:val="auto"/>
                <w:lang w:eastAsia="en-US"/>
              </w:rPr>
              <w:t>conversations with trade unions a</w:t>
            </w:r>
            <w:r w:rsidR="007E615E">
              <w:rPr>
                <w:rFonts w:ascii="Arial" w:eastAsia="Arial" w:hAnsi="Arial" w:cs="Arial"/>
                <w:bCs/>
                <w:color w:val="auto"/>
                <w:lang w:eastAsia="en-US"/>
              </w:rPr>
              <w:t xml:space="preserve">round </w:t>
            </w:r>
            <w:r w:rsidR="00645253" w:rsidRPr="004C24FB">
              <w:rPr>
                <w:rFonts w:ascii="Arial" w:eastAsia="Arial" w:hAnsi="Arial" w:cs="Arial"/>
                <w:bCs/>
                <w:color w:val="auto"/>
                <w:lang w:eastAsia="en-US"/>
              </w:rPr>
              <w:t xml:space="preserve">ways to </w:t>
            </w:r>
            <w:r w:rsidR="00C2555A">
              <w:rPr>
                <w:rFonts w:ascii="Arial" w:eastAsia="Arial" w:hAnsi="Arial" w:cs="Arial"/>
                <w:bCs/>
                <w:color w:val="auto"/>
                <w:lang w:eastAsia="en-US"/>
              </w:rPr>
              <w:t>enhance financial sustainability going forward, and also to pick up on the impacts of previous savings</w:t>
            </w:r>
            <w:r w:rsidR="00E024DE">
              <w:rPr>
                <w:rFonts w:ascii="Arial" w:eastAsia="Arial" w:hAnsi="Arial" w:cs="Arial"/>
                <w:bCs/>
                <w:color w:val="auto"/>
                <w:lang w:eastAsia="en-US"/>
              </w:rPr>
              <w:t>. These were live discussions, and changes had been made to reduce or remove services or activities rather than expecting ‘the same with less’.  This work would continue</w:t>
            </w:r>
            <w:r w:rsidR="003300EE">
              <w:rPr>
                <w:rFonts w:ascii="Arial" w:eastAsia="Arial" w:hAnsi="Arial" w:cs="Arial"/>
                <w:bCs/>
                <w:color w:val="auto"/>
                <w:lang w:eastAsia="en-US"/>
              </w:rPr>
              <w:t xml:space="preserve"> with reports provided to the Board and relevant Committees.</w:t>
            </w:r>
          </w:p>
          <w:p w14:paraId="04CA406F" w14:textId="77777777" w:rsidR="00F06EE5" w:rsidRPr="004C24FB" w:rsidRDefault="00F06EE5" w:rsidP="001220D8">
            <w:pPr>
              <w:widowControl w:val="0"/>
              <w:tabs>
                <w:tab w:val="left" w:pos="428"/>
                <w:tab w:val="left" w:pos="950"/>
              </w:tabs>
              <w:autoSpaceDE w:val="0"/>
              <w:autoSpaceDN w:val="0"/>
              <w:spacing w:after="0" w:line="240" w:lineRule="auto"/>
              <w:rPr>
                <w:rFonts w:ascii="Arial" w:eastAsia="Arial" w:hAnsi="Arial" w:cs="Arial"/>
                <w:bCs/>
                <w:vanish/>
                <w:color w:val="auto"/>
                <w:lang w:eastAsia="en-US"/>
              </w:rPr>
            </w:pPr>
          </w:p>
          <w:p w14:paraId="0C1B8C48" w14:textId="77777777" w:rsidR="005438C6" w:rsidRPr="004C24FB" w:rsidRDefault="005438C6" w:rsidP="001220D8">
            <w:pPr>
              <w:pStyle w:val="TableParagraph"/>
              <w:rPr>
                <w:b/>
                <w:lang w:val="en-GB"/>
              </w:rPr>
            </w:pPr>
          </w:p>
        </w:tc>
      </w:tr>
      <w:tr w:rsidR="005438C6" w:rsidRPr="004C24FB" w14:paraId="699D649B" w14:textId="77777777" w:rsidTr="00621C32">
        <w:trPr>
          <w:trHeight w:val="423"/>
        </w:trPr>
        <w:tc>
          <w:tcPr>
            <w:tcW w:w="567" w:type="dxa"/>
          </w:tcPr>
          <w:p w14:paraId="1F04103A" w14:textId="77777777" w:rsidR="005438C6" w:rsidRPr="004C24FB" w:rsidRDefault="005438C6" w:rsidP="001220D8">
            <w:pPr>
              <w:pStyle w:val="TableParagraph"/>
              <w:numPr>
                <w:ilvl w:val="0"/>
                <w:numId w:val="1"/>
              </w:numPr>
              <w:ind w:left="170" w:firstLine="0"/>
              <w:rPr>
                <w:b/>
                <w:lang w:val="en-GB"/>
              </w:rPr>
            </w:pPr>
          </w:p>
        </w:tc>
        <w:tc>
          <w:tcPr>
            <w:tcW w:w="9418" w:type="dxa"/>
          </w:tcPr>
          <w:p w14:paraId="1DE6CB24" w14:textId="7AACF39D" w:rsidR="006A7DAE" w:rsidRPr="004C24FB" w:rsidRDefault="006A7DAE" w:rsidP="001220D8">
            <w:pPr>
              <w:pStyle w:val="TableParagraph"/>
              <w:tabs>
                <w:tab w:val="left" w:pos="428"/>
                <w:tab w:val="left" w:pos="950"/>
              </w:tabs>
              <w:ind w:left="54" w:right="236"/>
              <w:rPr>
                <w:b/>
                <w:bCs/>
                <w:lang w:val="en-GB"/>
              </w:rPr>
            </w:pPr>
            <w:r w:rsidRPr="004C24FB">
              <w:rPr>
                <w:b/>
                <w:lang w:val="en-GB"/>
              </w:rPr>
              <w:t xml:space="preserve">DATE OF NEXT MEETING </w:t>
            </w:r>
            <w:r w:rsidRPr="004C24FB">
              <w:rPr>
                <w:lang w:val="en-GB"/>
              </w:rPr>
              <w:t>– Tuesday 6 June 2023, Gardyne Campus, Room Y150</w:t>
            </w:r>
          </w:p>
          <w:p w14:paraId="53F7EF1F" w14:textId="77777777" w:rsidR="005438C6" w:rsidRPr="004C24FB" w:rsidRDefault="005438C6" w:rsidP="00AB0932">
            <w:pPr>
              <w:pStyle w:val="TableParagraph"/>
              <w:tabs>
                <w:tab w:val="left" w:pos="428"/>
                <w:tab w:val="left" w:pos="950"/>
              </w:tabs>
              <w:ind w:right="236"/>
              <w:rPr>
                <w:bCs/>
                <w:lang w:val="en-GB"/>
              </w:rPr>
            </w:pPr>
          </w:p>
        </w:tc>
      </w:tr>
    </w:tbl>
    <w:p w14:paraId="49ED0EEA" w14:textId="77777777" w:rsidR="005438C6" w:rsidRDefault="005438C6" w:rsidP="005438C6">
      <w:pPr>
        <w:spacing w:after="0"/>
      </w:pPr>
    </w:p>
    <w:tbl>
      <w:tblPr>
        <w:tblpPr w:leftFromText="180" w:rightFromText="180" w:vertAnchor="text" w:tblpY="1"/>
        <w:tblOverlap w:val="never"/>
        <w:tblW w:w="9781" w:type="dxa"/>
        <w:tblLayout w:type="fixed"/>
        <w:tblCellMar>
          <w:left w:w="0" w:type="dxa"/>
          <w:right w:w="0" w:type="dxa"/>
        </w:tblCellMar>
        <w:tblLook w:val="01E0" w:firstRow="1" w:lastRow="1" w:firstColumn="1" w:lastColumn="1" w:noHBand="0" w:noVBand="0"/>
      </w:tblPr>
      <w:tblGrid>
        <w:gridCol w:w="6238"/>
        <w:gridCol w:w="1706"/>
        <w:gridCol w:w="1837"/>
      </w:tblGrid>
      <w:tr w:rsidR="00E97992" w:rsidRPr="00775417" w14:paraId="6C373F04" w14:textId="77777777" w:rsidTr="00621C32">
        <w:trPr>
          <w:trHeight w:val="375"/>
        </w:trPr>
        <w:tc>
          <w:tcPr>
            <w:tcW w:w="6238" w:type="dxa"/>
          </w:tcPr>
          <w:p w14:paraId="5D83CA5C" w14:textId="77777777" w:rsidR="00E97992" w:rsidRPr="008B6977" w:rsidRDefault="00E97992" w:rsidP="00474F3A">
            <w:pPr>
              <w:pStyle w:val="TableParagraph"/>
              <w:spacing w:after="120"/>
              <w:rPr>
                <w:b/>
              </w:rPr>
            </w:pPr>
            <w:r w:rsidRPr="008B6977">
              <w:rPr>
                <w:b/>
              </w:rPr>
              <w:t>Action Point Summary</w:t>
            </w:r>
          </w:p>
        </w:tc>
        <w:tc>
          <w:tcPr>
            <w:tcW w:w="1706" w:type="dxa"/>
          </w:tcPr>
          <w:p w14:paraId="23F71765" w14:textId="77777777" w:rsidR="00E97992" w:rsidRPr="00775417" w:rsidRDefault="00E97992" w:rsidP="00474F3A">
            <w:pPr>
              <w:pStyle w:val="TableParagraph"/>
              <w:spacing w:after="120"/>
              <w:jc w:val="center"/>
              <w:rPr>
                <w:b/>
              </w:rPr>
            </w:pPr>
          </w:p>
        </w:tc>
        <w:tc>
          <w:tcPr>
            <w:tcW w:w="1837" w:type="dxa"/>
          </w:tcPr>
          <w:p w14:paraId="59494DB7" w14:textId="77777777" w:rsidR="00E97992" w:rsidRPr="00775417" w:rsidRDefault="00E97992" w:rsidP="00474F3A">
            <w:pPr>
              <w:pStyle w:val="TableParagraph"/>
              <w:spacing w:after="120"/>
              <w:jc w:val="center"/>
              <w:rPr>
                <w:b/>
              </w:rPr>
            </w:pPr>
          </w:p>
        </w:tc>
      </w:tr>
      <w:tr w:rsidR="00E97992" w:rsidRPr="00775417" w14:paraId="393274F3" w14:textId="77777777" w:rsidTr="00621C32">
        <w:trPr>
          <w:trHeight w:val="376"/>
        </w:trPr>
        <w:tc>
          <w:tcPr>
            <w:tcW w:w="6238" w:type="dxa"/>
          </w:tcPr>
          <w:p w14:paraId="1E797EFB" w14:textId="77777777" w:rsidR="00E97992" w:rsidRPr="008B6977" w:rsidRDefault="00E97992" w:rsidP="00474F3A">
            <w:pPr>
              <w:pStyle w:val="TableParagraph"/>
              <w:spacing w:after="120"/>
              <w:rPr>
                <w:b/>
              </w:rPr>
            </w:pPr>
            <w:r>
              <w:rPr>
                <w:b/>
              </w:rPr>
              <w:t>Action</w:t>
            </w:r>
          </w:p>
        </w:tc>
        <w:tc>
          <w:tcPr>
            <w:tcW w:w="1706" w:type="dxa"/>
          </w:tcPr>
          <w:p w14:paraId="360926D8" w14:textId="77777777" w:rsidR="00E97992" w:rsidRPr="00775417" w:rsidRDefault="00E97992" w:rsidP="00474F3A">
            <w:pPr>
              <w:pStyle w:val="TableParagraph"/>
              <w:spacing w:after="120"/>
              <w:jc w:val="center"/>
              <w:rPr>
                <w:b/>
              </w:rPr>
            </w:pPr>
            <w:r>
              <w:rPr>
                <w:b/>
              </w:rPr>
              <w:t>Responsibility</w:t>
            </w:r>
          </w:p>
        </w:tc>
        <w:tc>
          <w:tcPr>
            <w:tcW w:w="1837" w:type="dxa"/>
          </w:tcPr>
          <w:p w14:paraId="18240722" w14:textId="77777777" w:rsidR="00E97992" w:rsidRPr="00775417" w:rsidRDefault="00E97992" w:rsidP="00474F3A">
            <w:pPr>
              <w:pStyle w:val="TableParagraph"/>
              <w:spacing w:after="120"/>
              <w:jc w:val="center"/>
              <w:rPr>
                <w:b/>
              </w:rPr>
            </w:pPr>
            <w:r>
              <w:rPr>
                <w:b/>
              </w:rPr>
              <w:t>Date</w:t>
            </w:r>
          </w:p>
        </w:tc>
      </w:tr>
      <w:tr w:rsidR="0099329B" w:rsidRPr="00775417" w14:paraId="7E47EF13" w14:textId="77777777" w:rsidTr="00621C32">
        <w:trPr>
          <w:trHeight w:val="376"/>
        </w:trPr>
        <w:tc>
          <w:tcPr>
            <w:tcW w:w="6238" w:type="dxa"/>
          </w:tcPr>
          <w:p w14:paraId="505F2A56" w14:textId="7865AFB0" w:rsidR="0099329B" w:rsidRPr="0099329B" w:rsidRDefault="00B02BCB" w:rsidP="00474F3A">
            <w:pPr>
              <w:pStyle w:val="TableParagraph"/>
              <w:spacing w:after="120"/>
              <w:rPr>
                <w:bCs/>
              </w:rPr>
            </w:pPr>
            <w:r>
              <w:rPr>
                <w:bCs/>
              </w:rPr>
              <w:t>Pass on thanks from Committee to S Fowler for his work around Health and Safety</w:t>
            </w:r>
          </w:p>
        </w:tc>
        <w:tc>
          <w:tcPr>
            <w:tcW w:w="1706" w:type="dxa"/>
          </w:tcPr>
          <w:p w14:paraId="6DE808F8" w14:textId="45951C24" w:rsidR="0099329B" w:rsidRPr="0099329B" w:rsidRDefault="00B02BCB" w:rsidP="00474F3A">
            <w:pPr>
              <w:pStyle w:val="TableParagraph"/>
              <w:spacing w:after="120"/>
              <w:jc w:val="center"/>
              <w:rPr>
                <w:bCs/>
              </w:rPr>
            </w:pPr>
            <w:r>
              <w:rPr>
                <w:bCs/>
              </w:rPr>
              <w:t>S Taylor</w:t>
            </w:r>
          </w:p>
        </w:tc>
        <w:tc>
          <w:tcPr>
            <w:tcW w:w="1837" w:type="dxa"/>
          </w:tcPr>
          <w:p w14:paraId="79AD093A" w14:textId="272D4181" w:rsidR="0099329B" w:rsidRPr="0099329B" w:rsidRDefault="00B02BCB" w:rsidP="00474F3A">
            <w:pPr>
              <w:pStyle w:val="TableParagraph"/>
              <w:spacing w:after="120"/>
              <w:jc w:val="center"/>
              <w:rPr>
                <w:bCs/>
              </w:rPr>
            </w:pPr>
            <w:r>
              <w:rPr>
                <w:bCs/>
              </w:rPr>
              <w:t>17 March 2023</w:t>
            </w:r>
          </w:p>
        </w:tc>
      </w:tr>
      <w:tr w:rsidR="0099329B" w:rsidRPr="00775417" w14:paraId="4FB78F7B" w14:textId="77777777" w:rsidTr="00621C32">
        <w:trPr>
          <w:trHeight w:val="376"/>
        </w:trPr>
        <w:tc>
          <w:tcPr>
            <w:tcW w:w="6238" w:type="dxa"/>
          </w:tcPr>
          <w:p w14:paraId="1E2C7E85" w14:textId="12C79A2F" w:rsidR="0099329B" w:rsidRPr="0099329B" w:rsidRDefault="0099329B" w:rsidP="00474F3A">
            <w:pPr>
              <w:pStyle w:val="TableParagraph"/>
              <w:spacing w:after="120"/>
              <w:rPr>
                <w:bCs/>
              </w:rPr>
            </w:pPr>
            <w:r>
              <w:rPr>
                <w:bCs/>
              </w:rPr>
              <w:t xml:space="preserve">Review </w:t>
            </w:r>
            <w:r w:rsidR="00B02BCB">
              <w:rPr>
                <w:bCs/>
              </w:rPr>
              <w:t>‘standalone’ risk in respect of leaving the EU</w:t>
            </w:r>
          </w:p>
        </w:tc>
        <w:tc>
          <w:tcPr>
            <w:tcW w:w="1706" w:type="dxa"/>
          </w:tcPr>
          <w:p w14:paraId="2BFE6C70" w14:textId="5A8E45D3" w:rsidR="0099329B" w:rsidRPr="0099329B" w:rsidRDefault="00B02BCB" w:rsidP="00474F3A">
            <w:pPr>
              <w:pStyle w:val="TableParagraph"/>
              <w:spacing w:after="120"/>
              <w:jc w:val="center"/>
              <w:rPr>
                <w:bCs/>
              </w:rPr>
            </w:pPr>
            <w:r>
              <w:rPr>
                <w:bCs/>
              </w:rPr>
              <w:t>S Taylor</w:t>
            </w:r>
          </w:p>
        </w:tc>
        <w:tc>
          <w:tcPr>
            <w:tcW w:w="1837" w:type="dxa"/>
          </w:tcPr>
          <w:p w14:paraId="5A92E066" w14:textId="62518DB2" w:rsidR="0099329B" w:rsidRPr="0099329B" w:rsidRDefault="00B02BCB" w:rsidP="00474F3A">
            <w:pPr>
              <w:pStyle w:val="TableParagraph"/>
              <w:spacing w:after="120"/>
              <w:jc w:val="center"/>
              <w:rPr>
                <w:bCs/>
              </w:rPr>
            </w:pPr>
            <w:r>
              <w:rPr>
                <w:bCs/>
              </w:rPr>
              <w:t>6 June 2023</w:t>
            </w:r>
          </w:p>
        </w:tc>
      </w:tr>
    </w:tbl>
    <w:p w14:paraId="396314B5" w14:textId="78213CE1" w:rsidR="005438C6" w:rsidRDefault="005438C6" w:rsidP="00621C32"/>
    <w:sectPr w:rsidR="005438C6" w:rsidSect="00EB1DE1">
      <w:footerReference w:type="default" r:id="rId11"/>
      <w:pgSz w:w="11906" w:h="16838"/>
      <w:pgMar w:top="1008" w:right="1008" w:bottom="1008" w:left="1008"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76C3E9" w14:textId="77777777" w:rsidR="00367714" w:rsidRDefault="00367714" w:rsidP="00B02BCB">
      <w:pPr>
        <w:spacing w:after="0" w:line="240" w:lineRule="auto"/>
      </w:pPr>
      <w:r>
        <w:separator/>
      </w:r>
    </w:p>
  </w:endnote>
  <w:endnote w:type="continuationSeparator" w:id="0">
    <w:p w14:paraId="5448B907" w14:textId="77777777" w:rsidR="00367714" w:rsidRDefault="00367714" w:rsidP="00B02B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6179566"/>
      <w:docPartObj>
        <w:docPartGallery w:val="Page Numbers (Bottom of Page)"/>
        <w:docPartUnique/>
      </w:docPartObj>
    </w:sdtPr>
    <w:sdtContent>
      <w:sdt>
        <w:sdtPr>
          <w:id w:val="-1769616900"/>
          <w:docPartObj>
            <w:docPartGallery w:val="Page Numbers (Top of Page)"/>
            <w:docPartUnique/>
          </w:docPartObj>
        </w:sdtPr>
        <w:sdtContent>
          <w:p w14:paraId="4B4DE16A" w14:textId="04264A1D" w:rsidR="00B02BCB" w:rsidRDefault="00B02BCB">
            <w:pPr>
              <w:pStyle w:val="Footer"/>
              <w:jc w:val="right"/>
            </w:pPr>
            <w:r w:rsidRPr="00B02BCB">
              <w:rPr>
                <w:rFonts w:ascii="Arial" w:hAnsi="Arial" w:cs="Arial"/>
                <w:sz w:val="20"/>
                <w:szCs w:val="20"/>
              </w:rPr>
              <w:t xml:space="preserve">Page </w:t>
            </w:r>
            <w:r w:rsidRPr="00B02BCB">
              <w:rPr>
                <w:rFonts w:ascii="Arial" w:hAnsi="Arial" w:cs="Arial"/>
                <w:sz w:val="20"/>
                <w:szCs w:val="20"/>
              </w:rPr>
              <w:fldChar w:fldCharType="begin"/>
            </w:r>
            <w:r w:rsidRPr="00B02BCB">
              <w:rPr>
                <w:rFonts w:ascii="Arial" w:hAnsi="Arial" w:cs="Arial"/>
                <w:sz w:val="20"/>
                <w:szCs w:val="20"/>
              </w:rPr>
              <w:instrText xml:space="preserve"> PAGE </w:instrText>
            </w:r>
            <w:r w:rsidRPr="00B02BCB">
              <w:rPr>
                <w:rFonts w:ascii="Arial" w:hAnsi="Arial" w:cs="Arial"/>
                <w:sz w:val="20"/>
                <w:szCs w:val="20"/>
              </w:rPr>
              <w:fldChar w:fldCharType="separate"/>
            </w:r>
            <w:r w:rsidRPr="00B02BCB">
              <w:rPr>
                <w:rFonts w:ascii="Arial" w:hAnsi="Arial" w:cs="Arial"/>
                <w:noProof/>
                <w:sz w:val="20"/>
                <w:szCs w:val="20"/>
              </w:rPr>
              <w:t>2</w:t>
            </w:r>
            <w:r w:rsidRPr="00B02BCB">
              <w:rPr>
                <w:rFonts w:ascii="Arial" w:hAnsi="Arial" w:cs="Arial"/>
                <w:sz w:val="20"/>
                <w:szCs w:val="20"/>
              </w:rPr>
              <w:fldChar w:fldCharType="end"/>
            </w:r>
            <w:r w:rsidRPr="00B02BCB">
              <w:rPr>
                <w:rFonts w:ascii="Arial" w:hAnsi="Arial" w:cs="Arial"/>
                <w:sz w:val="20"/>
                <w:szCs w:val="20"/>
              </w:rPr>
              <w:t xml:space="preserve"> of </w:t>
            </w:r>
            <w:r w:rsidRPr="00B02BCB">
              <w:rPr>
                <w:rFonts w:ascii="Arial" w:hAnsi="Arial" w:cs="Arial"/>
                <w:sz w:val="20"/>
                <w:szCs w:val="20"/>
              </w:rPr>
              <w:fldChar w:fldCharType="begin"/>
            </w:r>
            <w:r w:rsidRPr="00B02BCB">
              <w:rPr>
                <w:rFonts w:ascii="Arial" w:hAnsi="Arial" w:cs="Arial"/>
                <w:sz w:val="20"/>
                <w:szCs w:val="20"/>
              </w:rPr>
              <w:instrText xml:space="preserve"> NUMPAGES  </w:instrText>
            </w:r>
            <w:r w:rsidRPr="00B02BCB">
              <w:rPr>
                <w:rFonts w:ascii="Arial" w:hAnsi="Arial" w:cs="Arial"/>
                <w:sz w:val="20"/>
                <w:szCs w:val="20"/>
              </w:rPr>
              <w:fldChar w:fldCharType="separate"/>
            </w:r>
            <w:r w:rsidRPr="00B02BCB">
              <w:rPr>
                <w:rFonts w:ascii="Arial" w:hAnsi="Arial" w:cs="Arial"/>
                <w:noProof/>
                <w:sz w:val="20"/>
                <w:szCs w:val="20"/>
              </w:rPr>
              <w:t>2</w:t>
            </w:r>
            <w:r w:rsidRPr="00B02BCB">
              <w:rPr>
                <w:rFonts w:ascii="Arial" w:hAnsi="Arial" w:cs="Arial"/>
                <w:sz w:val="20"/>
                <w:szCs w:val="20"/>
              </w:rPr>
              <w:fldChar w:fldCharType="end"/>
            </w:r>
          </w:p>
        </w:sdtContent>
      </w:sdt>
    </w:sdtContent>
  </w:sdt>
  <w:p w14:paraId="2C2115FE" w14:textId="77777777" w:rsidR="00B02BCB" w:rsidRDefault="00B02B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F53919" w14:textId="77777777" w:rsidR="00367714" w:rsidRDefault="00367714" w:rsidP="00B02BCB">
      <w:pPr>
        <w:spacing w:after="0" w:line="240" w:lineRule="auto"/>
      </w:pPr>
      <w:r>
        <w:separator/>
      </w:r>
    </w:p>
  </w:footnote>
  <w:footnote w:type="continuationSeparator" w:id="0">
    <w:p w14:paraId="51512FD6" w14:textId="77777777" w:rsidR="00367714" w:rsidRDefault="00367714" w:rsidP="00B02B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6321F"/>
    <w:multiLevelType w:val="multilevel"/>
    <w:tmpl w:val="AF9A47F6"/>
    <w:lvl w:ilvl="0">
      <w:start w:val="1"/>
      <w:numFmt w:val="decimal"/>
      <w:lvlText w:val="%1."/>
      <w:lvlJc w:val="left"/>
      <w:pPr>
        <w:ind w:left="720" w:hanging="360"/>
      </w:pPr>
      <w:rPr>
        <w:rFonts w:ascii="Arial" w:hAnsi="Arial" w:cs="Arial" w:hint="default"/>
      </w:rPr>
    </w:lvl>
    <w:lvl w:ilvl="1">
      <w:start w:val="1"/>
      <w:numFmt w:val="decimal"/>
      <w:isLgl/>
      <w:lvlText w:val="%1.%2"/>
      <w:lvlJc w:val="left"/>
      <w:pPr>
        <w:ind w:left="1085" w:hanging="660"/>
      </w:pPr>
      <w:rPr>
        <w:rFonts w:hint="default"/>
        <w:b/>
        <w:bCs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E9311D4"/>
    <w:multiLevelType w:val="hybridMultilevel"/>
    <w:tmpl w:val="5386A62C"/>
    <w:lvl w:ilvl="0" w:tplc="BC1626E8">
      <w:start w:val="7"/>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BD5535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52636186"/>
    <w:multiLevelType w:val="hybridMultilevel"/>
    <w:tmpl w:val="1AB4D310"/>
    <w:lvl w:ilvl="0" w:tplc="BC1626E8">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74962066">
    <w:abstractNumId w:val="0"/>
  </w:num>
  <w:num w:numId="2" w16cid:durableId="1844666331">
    <w:abstractNumId w:val="2"/>
  </w:num>
  <w:num w:numId="3" w16cid:durableId="2050453240">
    <w:abstractNumId w:val="3"/>
  </w:num>
  <w:num w:numId="4" w16cid:durableId="15686148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38C6"/>
    <w:rsid w:val="000032C9"/>
    <w:rsid w:val="00015F1C"/>
    <w:rsid w:val="00094884"/>
    <w:rsid w:val="00096169"/>
    <w:rsid w:val="000A5BEC"/>
    <w:rsid w:val="000E728C"/>
    <w:rsid w:val="000F704D"/>
    <w:rsid w:val="001220D8"/>
    <w:rsid w:val="00133C7C"/>
    <w:rsid w:val="0015347B"/>
    <w:rsid w:val="00167E36"/>
    <w:rsid w:val="001811AE"/>
    <w:rsid w:val="0018522D"/>
    <w:rsid w:val="001866DB"/>
    <w:rsid w:val="001A2F71"/>
    <w:rsid w:val="001A3205"/>
    <w:rsid w:val="001B52AF"/>
    <w:rsid w:val="001F7973"/>
    <w:rsid w:val="00202CB7"/>
    <w:rsid w:val="00207BAF"/>
    <w:rsid w:val="0022363C"/>
    <w:rsid w:val="00226B08"/>
    <w:rsid w:val="002B35E4"/>
    <w:rsid w:val="002C2250"/>
    <w:rsid w:val="002C582D"/>
    <w:rsid w:val="002E7989"/>
    <w:rsid w:val="003300EE"/>
    <w:rsid w:val="0034381C"/>
    <w:rsid w:val="00367714"/>
    <w:rsid w:val="00367774"/>
    <w:rsid w:val="00386C9D"/>
    <w:rsid w:val="00405B3B"/>
    <w:rsid w:val="0043030C"/>
    <w:rsid w:val="0045757B"/>
    <w:rsid w:val="00474867"/>
    <w:rsid w:val="00474F3A"/>
    <w:rsid w:val="004A2B4E"/>
    <w:rsid w:val="004C24FB"/>
    <w:rsid w:val="004D0038"/>
    <w:rsid w:val="004E70B3"/>
    <w:rsid w:val="005239D8"/>
    <w:rsid w:val="00523B5B"/>
    <w:rsid w:val="00537083"/>
    <w:rsid w:val="005438C6"/>
    <w:rsid w:val="00553054"/>
    <w:rsid w:val="005814C3"/>
    <w:rsid w:val="00582FD1"/>
    <w:rsid w:val="005963A3"/>
    <w:rsid w:val="005B11E9"/>
    <w:rsid w:val="005F7625"/>
    <w:rsid w:val="00621C32"/>
    <w:rsid w:val="00624281"/>
    <w:rsid w:val="00645253"/>
    <w:rsid w:val="00667AFA"/>
    <w:rsid w:val="0068444F"/>
    <w:rsid w:val="006A7DAE"/>
    <w:rsid w:val="006C78B6"/>
    <w:rsid w:val="006D7F8F"/>
    <w:rsid w:val="0071342E"/>
    <w:rsid w:val="00713F47"/>
    <w:rsid w:val="00767669"/>
    <w:rsid w:val="007E35C3"/>
    <w:rsid w:val="007E537F"/>
    <w:rsid w:val="007E615E"/>
    <w:rsid w:val="007E7F8D"/>
    <w:rsid w:val="007F1954"/>
    <w:rsid w:val="008076CD"/>
    <w:rsid w:val="0082448E"/>
    <w:rsid w:val="00831DB6"/>
    <w:rsid w:val="00835807"/>
    <w:rsid w:val="008700E8"/>
    <w:rsid w:val="008B25DA"/>
    <w:rsid w:val="008C3EDC"/>
    <w:rsid w:val="008F3457"/>
    <w:rsid w:val="008F65DD"/>
    <w:rsid w:val="00901A10"/>
    <w:rsid w:val="0099329B"/>
    <w:rsid w:val="00995F84"/>
    <w:rsid w:val="009A12DC"/>
    <w:rsid w:val="009B13A7"/>
    <w:rsid w:val="009C3731"/>
    <w:rsid w:val="009F65F1"/>
    <w:rsid w:val="00A00F6F"/>
    <w:rsid w:val="00A03D02"/>
    <w:rsid w:val="00A14E35"/>
    <w:rsid w:val="00A75CBE"/>
    <w:rsid w:val="00A81F6E"/>
    <w:rsid w:val="00A83CD4"/>
    <w:rsid w:val="00AB0932"/>
    <w:rsid w:val="00AF550E"/>
    <w:rsid w:val="00AF70F7"/>
    <w:rsid w:val="00B02BCB"/>
    <w:rsid w:val="00B15EFC"/>
    <w:rsid w:val="00B45900"/>
    <w:rsid w:val="00B56FC9"/>
    <w:rsid w:val="00B70D1E"/>
    <w:rsid w:val="00C06039"/>
    <w:rsid w:val="00C10E61"/>
    <w:rsid w:val="00C16C09"/>
    <w:rsid w:val="00C2555A"/>
    <w:rsid w:val="00C510BE"/>
    <w:rsid w:val="00C5209D"/>
    <w:rsid w:val="00C74F57"/>
    <w:rsid w:val="00C85DD6"/>
    <w:rsid w:val="00CA09CD"/>
    <w:rsid w:val="00D15CFF"/>
    <w:rsid w:val="00D46797"/>
    <w:rsid w:val="00D625AF"/>
    <w:rsid w:val="00D95D92"/>
    <w:rsid w:val="00DA331A"/>
    <w:rsid w:val="00DE056E"/>
    <w:rsid w:val="00E024DE"/>
    <w:rsid w:val="00E07AB3"/>
    <w:rsid w:val="00E12630"/>
    <w:rsid w:val="00E176B1"/>
    <w:rsid w:val="00E34210"/>
    <w:rsid w:val="00E417DD"/>
    <w:rsid w:val="00E61EA5"/>
    <w:rsid w:val="00E701FA"/>
    <w:rsid w:val="00E97992"/>
    <w:rsid w:val="00EB1DE1"/>
    <w:rsid w:val="00EB2A3A"/>
    <w:rsid w:val="00EE6BE9"/>
    <w:rsid w:val="00EF45C9"/>
    <w:rsid w:val="00F06EE5"/>
    <w:rsid w:val="00F8296A"/>
    <w:rsid w:val="00FA4E73"/>
    <w:rsid w:val="00FB1A3B"/>
    <w:rsid w:val="00FC4E21"/>
    <w:rsid w:val="00FD5C21"/>
    <w:rsid w:val="00FD6A14"/>
    <w:rsid w:val="00FF390E"/>
    <w:rsid w:val="00FF55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8DFF4"/>
  <w15:chartTrackingRefBased/>
  <w15:docId w15:val="{2D170E6D-141C-47DB-9C1D-360D59430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38C6"/>
    <w:rPr>
      <w:rFonts w:ascii="Calibri" w:eastAsia="Calibri" w:hAnsi="Calibri" w:cs="Calibri"/>
      <w:color w:val="000000"/>
      <w:lang w:eastAsia="en-GB"/>
    </w:rPr>
  </w:style>
  <w:style w:type="paragraph" w:styleId="Heading1">
    <w:name w:val="heading 1"/>
    <w:next w:val="Normal"/>
    <w:link w:val="Heading1Char"/>
    <w:uiPriority w:val="9"/>
    <w:unhideWhenUsed/>
    <w:qFormat/>
    <w:rsid w:val="005438C6"/>
    <w:pPr>
      <w:keepNext/>
      <w:keepLines/>
      <w:spacing w:after="0"/>
      <w:ind w:left="10" w:hanging="10"/>
      <w:outlineLvl w:val="0"/>
    </w:pPr>
    <w:rPr>
      <w:rFonts w:ascii="Arial" w:eastAsia="Arial" w:hAnsi="Arial" w:cs="Arial"/>
      <w:b/>
      <w:color w:val="000000"/>
      <w:sz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38C6"/>
    <w:rPr>
      <w:rFonts w:ascii="Arial" w:eastAsia="Arial" w:hAnsi="Arial" w:cs="Arial"/>
      <w:b/>
      <w:color w:val="000000"/>
      <w:sz w:val="32"/>
      <w:lang w:eastAsia="en-GB"/>
    </w:rPr>
  </w:style>
  <w:style w:type="paragraph" w:styleId="ListParagraph">
    <w:name w:val="List Paragraph"/>
    <w:basedOn w:val="Normal"/>
    <w:uiPriority w:val="34"/>
    <w:qFormat/>
    <w:rsid w:val="005438C6"/>
    <w:pPr>
      <w:ind w:left="720"/>
      <w:contextualSpacing/>
    </w:pPr>
  </w:style>
  <w:style w:type="paragraph" w:customStyle="1" w:styleId="TableParagraph">
    <w:name w:val="Table Paragraph"/>
    <w:basedOn w:val="Normal"/>
    <w:uiPriority w:val="1"/>
    <w:qFormat/>
    <w:rsid w:val="005438C6"/>
    <w:pPr>
      <w:widowControl w:val="0"/>
      <w:autoSpaceDE w:val="0"/>
      <w:autoSpaceDN w:val="0"/>
      <w:spacing w:after="0" w:line="240" w:lineRule="auto"/>
    </w:pPr>
    <w:rPr>
      <w:rFonts w:ascii="Arial" w:eastAsia="Arial" w:hAnsi="Arial" w:cs="Arial"/>
      <w:color w:val="auto"/>
      <w:lang w:val="en-US" w:eastAsia="en-US"/>
    </w:rPr>
  </w:style>
  <w:style w:type="paragraph" w:styleId="BodyText">
    <w:name w:val="Body Text"/>
    <w:basedOn w:val="Normal"/>
    <w:link w:val="BodyTextChar"/>
    <w:uiPriority w:val="1"/>
    <w:qFormat/>
    <w:rsid w:val="005438C6"/>
    <w:pPr>
      <w:widowControl w:val="0"/>
      <w:autoSpaceDE w:val="0"/>
      <w:autoSpaceDN w:val="0"/>
      <w:spacing w:after="0" w:line="240" w:lineRule="auto"/>
    </w:pPr>
    <w:rPr>
      <w:rFonts w:ascii="Arial" w:eastAsia="Arial" w:hAnsi="Arial" w:cs="Arial"/>
      <w:color w:val="auto"/>
      <w:lang w:bidi="en-GB"/>
    </w:rPr>
  </w:style>
  <w:style w:type="character" w:customStyle="1" w:styleId="BodyTextChar">
    <w:name w:val="Body Text Char"/>
    <w:basedOn w:val="DefaultParagraphFont"/>
    <w:link w:val="BodyText"/>
    <w:uiPriority w:val="1"/>
    <w:rsid w:val="005438C6"/>
    <w:rPr>
      <w:rFonts w:ascii="Arial" w:eastAsia="Arial" w:hAnsi="Arial" w:cs="Arial"/>
      <w:lang w:eastAsia="en-GB" w:bidi="en-GB"/>
    </w:rPr>
  </w:style>
  <w:style w:type="paragraph" w:styleId="Header">
    <w:name w:val="header"/>
    <w:basedOn w:val="Normal"/>
    <w:link w:val="HeaderChar"/>
    <w:uiPriority w:val="99"/>
    <w:unhideWhenUsed/>
    <w:rsid w:val="00B02B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BCB"/>
    <w:rPr>
      <w:rFonts w:ascii="Calibri" w:eastAsia="Calibri" w:hAnsi="Calibri" w:cs="Calibri"/>
      <w:color w:val="000000"/>
      <w:lang w:eastAsia="en-GB"/>
    </w:rPr>
  </w:style>
  <w:style w:type="paragraph" w:styleId="Footer">
    <w:name w:val="footer"/>
    <w:basedOn w:val="Normal"/>
    <w:link w:val="FooterChar"/>
    <w:uiPriority w:val="99"/>
    <w:unhideWhenUsed/>
    <w:rsid w:val="00B02B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BCB"/>
    <w:rPr>
      <w:rFonts w:ascii="Calibri" w:eastAsia="Calibri" w:hAnsi="Calibri" w:cs="Calibri"/>
      <w:color w:val="00000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1C4D4A17469894796E6D793F5070B2C" ma:contentTypeVersion="36" ma:contentTypeDescription="Create a new document." ma:contentTypeScope="" ma:versionID="d6579b40fd5b0500348b38ef72c63fd5">
  <xsd:schema xmlns:xsd="http://www.w3.org/2001/XMLSchema" xmlns:xs="http://www.w3.org/2001/XMLSchema" xmlns:p="http://schemas.microsoft.com/office/2006/metadata/properties" xmlns:ns2="e5227610-2249-42ca-aa63-a98d061b9b1d" xmlns:ns3="c9c789c0-fd82-4d8f-8fb9-ffed7a08458a" targetNamespace="http://schemas.microsoft.com/office/2006/metadata/properties" ma:root="true" ma:fieldsID="85643c18c4570fffc4b8e485f69518a6" ns2:_="" ns3:_="">
    <xsd:import namespace="e5227610-2249-42ca-aa63-a98d061b9b1d"/>
    <xsd:import namespace="c9c789c0-fd82-4d8f-8fb9-ffed7a08458a"/>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227610-2249-42ca-aa63-a98d061b9b1d"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DateTaken" ma:index="30" nillable="true" ma:displayName="MediaServiceDateTaken" ma:hidden="true" ma:internalName="MediaServiceDateTaken" ma:readOnly="true">
      <xsd:simpleType>
        <xsd:restriction base="dms:Text"/>
      </xsd:simpleType>
    </xsd:element>
    <xsd:element name="MediaServiceAutoTags" ma:index="31" nillable="true" ma:displayName="Tags" ma:internalName="MediaServiceAutoTags" ma:readOnly="true">
      <xsd:simpleType>
        <xsd:restriction base="dms:Text"/>
      </xsd:simpleType>
    </xsd:element>
    <xsd:element name="MediaServiceOCR" ma:index="32" nillable="true" ma:displayName="Extracted Text" ma:internalName="MediaServiceOCR" ma:readOnly="true">
      <xsd:simpleType>
        <xsd:restriction base="dms:Note">
          <xsd:maxLength value="255"/>
        </xsd:restriction>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AutoKeyPoints" ma:index="37" nillable="true" ma:displayName="MediaServiceAutoKeyPoints" ma:hidden="true" ma:internalName="MediaServiceAutoKeyPoints" ma:readOnly="true">
      <xsd:simpleType>
        <xsd:restriction base="dms:Note"/>
      </xsd:simpleType>
    </xsd:element>
    <xsd:element name="MediaServiceKeyPoints" ma:index="38" nillable="true" ma:displayName="KeyPoints" ma:internalName="MediaServiceKeyPoints" ma:readOnly="true">
      <xsd:simpleType>
        <xsd:restriction base="dms:Note">
          <xsd:maxLength value="255"/>
        </xsd:restriction>
      </xsd:simpleType>
    </xsd:element>
    <xsd:element name="MediaServiceLocation" ma:index="39" nillable="true" ma:displayName="Location" ma:internalName="MediaServiceLocation" ma:readOnly="true">
      <xsd:simpleType>
        <xsd:restriction base="dms:Text"/>
      </xsd:simpleType>
    </xsd:element>
    <xsd:element name="MediaLengthInSeconds" ma:index="40" nillable="true" ma:displayName="Length (seconds)" ma:internalName="MediaLengthInSeconds" ma:readOnly="true">
      <xsd:simpleType>
        <xsd:restriction base="dms:Unknown"/>
      </xsd:simpleType>
    </xsd:element>
    <xsd:element name="lcf76f155ced4ddcb4097134ff3c332f" ma:index="42" nillable="true" ma:taxonomy="true" ma:internalName="lcf76f155ced4ddcb4097134ff3c332f" ma:taxonomyFieldName="MediaServiceImageTags" ma:displayName="Image Tags" ma:readOnly="false" ma:fieldId="{5cf76f15-5ced-4ddc-b409-7134ff3c332f}" ma:taxonomyMulti="true" ma:sspId="99bec46d-453a-405f-9dc7-db8e94f2710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9c789c0-fd82-4d8f-8fb9-ffed7a08458a" elementFormDefault="qualified">
    <xsd:import namespace="http://schemas.microsoft.com/office/2006/documentManagement/types"/>
    <xsd:import namespace="http://schemas.microsoft.com/office/infopath/2007/PartnerControls"/>
    <xsd:element name="SharedWithUsers" ma:index="3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6" nillable="true" ma:displayName="Shared With Details" ma:internalName="SharedWithDetails" ma:readOnly="true">
      <xsd:simpleType>
        <xsd:restriction base="dms:Note">
          <xsd:maxLength value="255"/>
        </xsd:restriction>
      </xsd:simpleType>
    </xsd:element>
    <xsd:element name="TaxCatchAll" ma:index="43" nillable="true" ma:displayName="Taxonomy Catch All Column" ma:hidden="true" ma:list="{d9a28ac8-7663-47b5-9b56-a4c681588415}" ma:internalName="TaxCatchAll" ma:showField="CatchAllData" ma:web="c9c789c0-fd82-4d8f-8fb9-ffed7a08458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ppVersion xmlns="e5227610-2249-42ca-aa63-a98d061b9b1d" xsi:nil="true"/>
    <LMS_Mappings xmlns="e5227610-2249-42ca-aa63-a98d061b9b1d" xsi:nil="true"/>
    <DefaultSectionNames xmlns="e5227610-2249-42ca-aa63-a98d061b9b1d" xsi:nil="true"/>
    <Invited_Members xmlns="e5227610-2249-42ca-aa63-a98d061b9b1d" xsi:nil="true"/>
    <Members xmlns="e5227610-2249-42ca-aa63-a98d061b9b1d">
      <UserInfo>
        <DisplayName/>
        <AccountId xsi:nil="true"/>
        <AccountType/>
      </UserInfo>
    </Members>
    <Member_Groups xmlns="e5227610-2249-42ca-aa63-a98d061b9b1d">
      <UserInfo>
        <DisplayName/>
        <AccountId xsi:nil="true"/>
        <AccountType/>
      </UserInfo>
    </Member_Groups>
    <FolderType xmlns="e5227610-2249-42ca-aa63-a98d061b9b1d" xsi:nil="true"/>
    <Is_Collaboration_Space_Locked xmlns="e5227610-2249-42ca-aa63-a98d061b9b1d" xsi:nil="true"/>
    <TaxCatchAll xmlns="c9c789c0-fd82-4d8f-8fb9-ffed7a08458a" xsi:nil="true"/>
    <Self_Registration_Enabled xmlns="e5227610-2249-42ca-aa63-a98d061b9b1d" xsi:nil="true"/>
    <Has_Leaders_Only_SectionGroup xmlns="e5227610-2249-42ca-aa63-a98d061b9b1d" xsi:nil="true"/>
    <Templates xmlns="e5227610-2249-42ca-aa63-a98d061b9b1d" xsi:nil="true"/>
    <CultureName xmlns="e5227610-2249-42ca-aa63-a98d061b9b1d" xsi:nil="true"/>
    <TeamsChannelId xmlns="e5227610-2249-42ca-aa63-a98d061b9b1d" xsi:nil="true"/>
    <Invited_Leaders xmlns="e5227610-2249-42ca-aa63-a98d061b9b1d" xsi:nil="true"/>
    <NotebookType xmlns="e5227610-2249-42ca-aa63-a98d061b9b1d" xsi:nil="true"/>
    <Leaders xmlns="e5227610-2249-42ca-aa63-a98d061b9b1d">
      <UserInfo>
        <DisplayName/>
        <AccountId xsi:nil="true"/>
        <AccountType/>
      </UserInfo>
    </Leaders>
    <IsNotebookLocked xmlns="e5227610-2249-42ca-aa63-a98d061b9b1d" xsi:nil="true"/>
    <Math_Settings xmlns="e5227610-2249-42ca-aa63-a98d061b9b1d" xsi:nil="true"/>
    <Owner xmlns="e5227610-2249-42ca-aa63-a98d061b9b1d">
      <UserInfo>
        <DisplayName/>
        <AccountId xsi:nil="true"/>
        <AccountType/>
      </UserInfo>
    </Owner>
    <Distribution_Groups xmlns="e5227610-2249-42ca-aa63-a98d061b9b1d" xsi:nil="true"/>
    <lcf76f155ced4ddcb4097134ff3c332f xmlns="e5227610-2249-42ca-aa63-a98d061b9b1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421552D-A07F-4732-927E-422550A6A6EF}">
  <ds:schemaRefs>
    <ds:schemaRef ds:uri="http://schemas.microsoft.com/sharepoint/v3/contenttype/forms"/>
  </ds:schemaRefs>
</ds:datastoreItem>
</file>

<file path=customXml/itemProps2.xml><?xml version="1.0" encoding="utf-8"?>
<ds:datastoreItem xmlns:ds="http://schemas.openxmlformats.org/officeDocument/2006/customXml" ds:itemID="{AAF2F1C7-3641-4E9C-A711-4FF7247AB5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227610-2249-42ca-aa63-a98d061b9b1d"/>
    <ds:schemaRef ds:uri="c9c789c0-fd82-4d8f-8fb9-ffed7a0845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AE64AEB-2929-49A8-8CD2-D874682A0B17}">
  <ds:schemaRefs>
    <ds:schemaRef ds:uri="http://schemas.microsoft.com/office/2006/metadata/properties"/>
    <ds:schemaRef ds:uri="http://schemas.microsoft.com/office/infopath/2007/PartnerControls"/>
    <ds:schemaRef ds:uri="e5227610-2249-42ca-aa63-a98d061b9b1d"/>
    <ds:schemaRef ds:uri="c9c789c0-fd82-4d8f-8fb9-ffed7a08458a"/>
  </ds:schemaRefs>
</ds:datastoreItem>
</file>

<file path=docProps/app.xml><?xml version="1.0" encoding="utf-8"?>
<Properties xmlns="http://schemas.openxmlformats.org/officeDocument/2006/extended-properties" xmlns:vt="http://schemas.openxmlformats.org/officeDocument/2006/docPropsVTypes">
  <Template>Normal</Template>
  <TotalTime>298</TotalTime>
  <Pages>3</Pages>
  <Words>1119</Words>
  <Characters>6384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Penny Muir</dc:creator>
  <cp:keywords/>
  <dc:description/>
  <cp:lastModifiedBy>Steven Taylor</cp:lastModifiedBy>
  <cp:revision>129</cp:revision>
  <dcterms:created xsi:type="dcterms:W3CDTF">2023-03-08T11:39:00Z</dcterms:created>
  <dcterms:modified xsi:type="dcterms:W3CDTF">2023-03-14T09:43:00Z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0x010100C1C4D4A17469894796E6D793F5070B2C</vt:lpwstr>
  </property>
  <property fmtid="{D5CDD505-2E9C-101B-9397-08002B2CF9AE}" pid="3" name="MediaServiceImageTags">
    <vt:lpwstr/>
  </property>
</Properties>
</file>